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FC86">
      <w:pPr>
        <w:pStyle w:val="2"/>
        <w:jc w:val="both"/>
        <w:rPr>
          <w:rFonts w:hint="default"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附件1</w:t>
      </w:r>
    </w:p>
    <w:p w14:paraId="6A373299">
      <w:pPr>
        <w:pStyle w:val="3"/>
        <w:bidi w:val="0"/>
        <w:ind w:left="0" w:leftChars="0" w:firstLine="0" w:firstLineChars="0"/>
        <w:jc w:val="center"/>
        <w:rPr>
          <w:rFonts w:hint="default"/>
          <w:lang w:val="en-US" w:eastAsia="zh-CN"/>
        </w:rPr>
      </w:pPr>
      <w:r>
        <w:rPr>
          <w:rFonts w:hint="eastAsia"/>
          <w:lang w:val="en-US" w:eastAsia="zh-CN"/>
        </w:rPr>
        <w:t>南京科技馆餐厅合作经营项目评审标准</w:t>
      </w:r>
    </w:p>
    <w:tbl>
      <w:tblPr>
        <w:tblStyle w:val="7"/>
        <w:tblW w:w="13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7434"/>
        <w:gridCol w:w="1350"/>
        <w:gridCol w:w="1417"/>
        <w:gridCol w:w="812"/>
      </w:tblGrid>
      <w:tr w14:paraId="72D6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2057" w:type="dxa"/>
            <w:vAlign w:val="center"/>
          </w:tcPr>
          <w:p w14:paraId="6AD0A209">
            <w:pPr>
              <w:keepNext w:val="0"/>
              <w:keepLines w:val="0"/>
              <w:pageBreakBefore w:val="0"/>
              <w:widowControl w:val="0"/>
              <w:numPr>
                <w:ilvl w:val="0"/>
                <w:numId w:val="0"/>
              </w:numPr>
              <w:kinsoku/>
              <w:wordWrap/>
              <w:overflowPunct/>
              <w:topLinePunct w:val="0"/>
              <w:bidi w:val="0"/>
              <w:adjustRightInd/>
              <w:snapToGrid/>
              <w:spacing w:line="15" w:lineRule="auto"/>
              <w:jc w:val="center"/>
              <w:textAlignment w:val="auto"/>
              <w:rPr>
                <w:rFonts w:hint="default" w:ascii="仿宋_GB2312" w:hAnsi="仿宋_GB2312" w:eastAsia="仿宋_GB2312" w:cs="仿宋_GB2312"/>
                <w:b/>
                <w:bCs/>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内容</w:t>
            </w:r>
          </w:p>
          <w:p w14:paraId="6A1A6F22">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7434" w:type="dxa"/>
            <w:vAlign w:val="center"/>
          </w:tcPr>
          <w:p w14:paraId="13073AD2">
            <w:pPr>
              <w:numPr>
                <w:ilvl w:val="0"/>
                <w:numId w:val="0"/>
              </w:numPr>
              <w:jc w:val="center"/>
              <w:rPr>
                <w:rFonts w:hint="default" w:ascii="仿宋_GB2312" w:hAnsi="仿宋_GB2312" w:eastAsia="仿宋_GB2312" w:cs="仿宋_GB2312"/>
                <w:b/>
                <w:bCs/>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具体内容</w:t>
            </w:r>
          </w:p>
        </w:tc>
        <w:tc>
          <w:tcPr>
            <w:tcW w:w="1350" w:type="dxa"/>
            <w:vAlign w:val="center"/>
          </w:tcPr>
          <w:p w14:paraId="112F6276">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1417" w:type="dxa"/>
            <w:vAlign w:val="center"/>
          </w:tcPr>
          <w:p w14:paraId="1005E8A2">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812" w:type="dxa"/>
            <w:vAlign w:val="center"/>
          </w:tcPr>
          <w:p w14:paraId="7AD41F77">
            <w:pPr>
              <w:numPr>
                <w:ilvl w:val="0"/>
                <w:numId w:val="0"/>
              </w:numPr>
              <w:jc w:val="center"/>
              <w:rPr>
                <w:rFonts w:hint="default" w:ascii="仿宋_GB2312" w:hAnsi="仿宋_GB2312" w:eastAsia="仿宋_GB2312" w:cs="仿宋_GB2312"/>
                <w:b/>
                <w:bCs/>
                <w:color w:val="auto"/>
                <w:sz w:val="18"/>
                <w:szCs w:val="18"/>
                <w:vertAlign w:val="baseline"/>
                <w:lang w:val="en-US" w:eastAsia="zh-CN"/>
              </w:rPr>
            </w:pPr>
          </w:p>
        </w:tc>
      </w:tr>
      <w:tr w14:paraId="4D5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jc w:val="center"/>
        </w:trPr>
        <w:tc>
          <w:tcPr>
            <w:tcW w:w="2057" w:type="dxa"/>
            <w:vAlign w:val="center"/>
          </w:tcPr>
          <w:p w14:paraId="713690D8">
            <w:pPr>
              <w:numPr>
                <w:ilvl w:val="0"/>
                <w:numId w:val="0"/>
              </w:numPr>
              <w:jc w:val="center"/>
              <w:rPr>
                <w:rFonts w:hint="default" w:ascii="仿宋_GB2312" w:hAnsi="仿宋_GB2312" w:eastAsia="仿宋_GB2312" w:cs="仿宋_GB2312"/>
                <w:b/>
                <w:bCs/>
                <w:color w:val="auto"/>
                <w:sz w:val="18"/>
                <w:szCs w:val="18"/>
                <w:vertAlign w:val="baseline"/>
                <w:lang w:val="en-US" w:eastAsia="zh-CN"/>
              </w:rPr>
            </w:pPr>
            <w:r>
              <w:rPr>
                <w:rFonts w:hint="default" w:ascii="仿宋_GB2312" w:hAnsi="仿宋_GB2312" w:eastAsia="仿宋_GB2312" w:cs="仿宋_GB2312"/>
                <w:b/>
                <w:bCs/>
                <w:color w:val="auto"/>
                <w:sz w:val="18"/>
                <w:szCs w:val="18"/>
                <w:vertAlign w:val="baseline"/>
                <w:lang w:val="en-US" w:eastAsia="zh-CN"/>
              </w:rPr>
              <w:t>综合资质</w:t>
            </w:r>
          </w:p>
          <w:p w14:paraId="6BACA6EB">
            <w:pPr>
              <w:numPr>
                <w:ilvl w:val="0"/>
                <w:numId w:val="0"/>
              </w:numPr>
              <w:jc w:val="center"/>
              <w:rPr>
                <w:rFonts w:hint="eastAsia" w:ascii="仿宋_GB2312" w:hAnsi="仿宋_GB2312" w:eastAsia="仿宋_GB2312" w:cs="仿宋_GB2312"/>
                <w:b/>
                <w:bCs/>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（10分）</w:t>
            </w:r>
          </w:p>
        </w:tc>
        <w:tc>
          <w:tcPr>
            <w:tcW w:w="7434" w:type="dxa"/>
            <w:vAlign w:val="center"/>
          </w:tcPr>
          <w:p w14:paraId="2715662E">
            <w:pPr>
              <w:numPr>
                <w:ilvl w:val="0"/>
                <w:numId w:val="0"/>
              </w:numPr>
              <w:spacing w:line="320" w:lineRule="exact"/>
              <w:jc w:val="left"/>
              <w:rPr>
                <w:rFonts w:hint="eastAsia" w:ascii="仿宋_GB2312" w:hAnsi="仿宋_GB2312" w:eastAsia="仿宋_GB2312" w:cs="仿宋_GB2312"/>
                <w:b w:val="0"/>
                <w:bCs w:val="0"/>
                <w:i w:val="0"/>
                <w:iCs w:val="0"/>
                <w:caps w:val="0"/>
                <w:color w:val="auto"/>
                <w:spacing w:val="0"/>
                <w:sz w:val="18"/>
                <w:szCs w:val="18"/>
                <w:shd w:val="clear"/>
                <w:lang w:val="en-US" w:eastAsia="zh-CN"/>
              </w:rPr>
            </w:pPr>
            <w:r>
              <w:rPr>
                <w:rFonts w:hint="default" w:ascii="仿宋_GB2312" w:hAnsi="仿宋_GB2312" w:eastAsia="仿宋_GB2312" w:cs="仿宋_GB2312"/>
                <w:b w:val="0"/>
                <w:bCs w:val="0"/>
                <w:i w:val="0"/>
                <w:iCs w:val="0"/>
                <w:caps w:val="0"/>
                <w:color w:val="auto"/>
                <w:spacing w:val="0"/>
                <w:sz w:val="18"/>
                <w:szCs w:val="18"/>
                <w:shd w:val="clear"/>
                <w:lang w:val="en-US" w:eastAsia="zh-CN"/>
              </w:rPr>
              <w:t>企业基本资质 (5分</w:t>
            </w:r>
            <w:r>
              <w:rPr>
                <w:rFonts w:hint="eastAsia" w:ascii="仿宋_GB2312" w:hAnsi="仿宋_GB2312" w:eastAsia="仿宋_GB2312" w:cs="仿宋_GB2312"/>
                <w:b w:val="0"/>
                <w:bCs w:val="0"/>
                <w:i w:val="0"/>
                <w:iCs w:val="0"/>
                <w:caps w:val="0"/>
                <w:color w:val="auto"/>
                <w:spacing w:val="0"/>
                <w:sz w:val="18"/>
                <w:szCs w:val="18"/>
                <w:shd w:val="clear"/>
                <w:lang w:val="en-US" w:eastAsia="zh-CN"/>
              </w:rPr>
              <w:t>）</w:t>
            </w:r>
            <w:r>
              <w:rPr>
                <w:rFonts w:hint="default" w:ascii="仿宋_GB2312" w:hAnsi="仿宋_GB2312" w:eastAsia="仿宋_GB2312" w:cs="仿宋_GB2312"/>
                <w:b w:val="0"/>
                <w:bCs w:val="0"/>
                <w:i w:val="0"/>
                <w:iCs w:val="0"/>
                <w:caps w:val="0"/>
                <w:color w:val="auto"/>
                <w:spacing w:val="0"/>
                <w:sz w:val="18"/>
                <w:szCs w:val="18"/>
                <w:shd w:val="clear"/>
                <w:lang w:val="en-US" w:eastAsia="zh-CN"/>
              </w:rPr>
              <w:t>：营业执照、食品经营许可证等证照齐全、有效</w:t>
            </w:r>
            <w:r>
              <w:rPr>
                <w:rFonts w:hint="eastAsia" w:ascii="仿宋_GB2312" w:hAnsi="仿宋_GB2312" w:eastAsia="仿宋_GB2312" w:cs="仿宋_GB2312"/>
                <w:b w:val="0"/>
                <w:bCs w:val="0"/>
                <w:i w:val="0"/>
                <w:iCs w:val="0"/>
                <w:caps w:val="0"/>
                <w:color w:val="auto"/>
                <w:spacing w:val="0"/>
                <w:sz w:val="18"/>
                <w:szCs w:val="18"/>
                <w:shd w:val="clear"/>
                <w:lang w:val="en-US" w:eastAsia="zh-CN"/>
              </w:rPr>
              <w:t>。</w:t>
            </w:r>
          </w:p>
          <w:p w14:paraId="5105768A">
            <w:pPr>
              <w:numPr>
                <w:ilvl w:val="0"/>
                <w:numId w:val="0"/>
              </w:numPr>
              <w:spacing w:line="320" w:lineRule="exact"/>
              <w:jc w:val="left"/>
              <w:rPr>
                <w:rFonts w:hint="default" w:ascii="仿宋_GB2312" w:hAnsi="仿宋_GB2312" w:eastAsia="仿宋_GB2312" w:cs="仿宋_GB2312"/>
                <w:b w:val="0"/>
                <w:bCs w:val="0"/>
                <w:i w:val="0"/>
                <w:iCs w:val="0"/>
                <w:caps w:val="0"/>
                <w:color w:val="auto"/>
                <w:spacing w:val="0"/>
                <w:sz w:val="18"/>
                <w:szCs w:val="18"/>
                <w:shd w:val="clear"/>
                <w:lang w:val="en-US" w:eastAsia="zh-CN"/>
              </w:rPr>
            </w:pPr>
            <w:r>
              <w:rPr>
                <w:rFonts w:hint="eastAsia" w:ascii="仿宋_GB2312" w:hAnsi="仿宋_GB2312" w:eastAsia="仿宋_GB2312" w:cs="仿宋_GB2312"/>
                <w:b w:val="0"/>
                <w:bCs w:val="0"/>
                <w:i w:val="0"/>
                <w:iCs w:val="0"/>
                <w:caps w:val="0"/>
                <w:color w:val="auto"/>
                <w:spacing w:val="0"/>
                <w:sz w:val="18"/>
                <w:szCs w:val="18"/>
                <w:shd w:val="clear"/>
                <w:lang w:val="en-US" w:eastAsia="zh-CN"/>
              </w:rPr>
              <w:t>企业营业执照包括餐饮服务、餐饮管理的经营范围。</w:t>
            </w:r>
          </w:p>
          <w:p w14:paraId="7D6F9872">
            <w:pPr>
              <w:numPr>
                <w:ilvl w:val="0"/>
                <w:numId w:val="0"/>
              </w:numPr>
              <w:spacing w:line="320" w:lineRule="exact"/>
              <w:jc w:val="left"/>
              <w:rPr>
                <w:rFonts w:hint="eastAsia" w:ascii="仿宋_GB2312" w:hAnsi="仿宋_GB2312" w:eastAsia="仿宋_GB2312" w:cs="仿宋_GB2312"/>
                <w:b/>
                <w:bCs/>
                <w:color w:val="auto"/>
                <w:sz w:val="18"/>
                <w:szCs w:val="18"/>
                <w:vertAlign w:val="baseline"/>
                <w:lang w:val="en-US" w:eastAsia="zh-CN"/>
              </w:rPr>
            </w:pPr>
            <w:r>
              <w:rPr>
                <w:rFonts w:hint="eastAsia"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企业财务状况（总分5分）：涉及的内容包括但不限于企业的资产负债情况、盈利能力、现金流状况以及整体的财务管理水平。</w:t>
            </w:r>
          </w:p>
        </w:tc>
        <w:tc>
          <w:tcPr>
            <w:tcW w:w="1350" w:type="dxa"/>
            <w:vAlign w:val="center"/>
          </w:tcPr>
          <w:p w14:paraId="6CFEAA9A">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1417" w:type="dxa"/>
            <w:vAlign w:val="center"/>
          </w:tcPr>
          <w:p w14:paraId="5BB23373">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812" w:type="dxa"/>
            <w:vAlign w:val="center"/>
          </w:tcPr>
          <w:p w14:paraId="5647D762">
            <w:pPr>
              <w:numPr>
                <w:ilvl w:val="0"/>
                <w:numId w:val="0"/>
              </w:numPr>
              <w:jc w:val="center"/>
              <w:rPr>
                <w:rFonts w:hint="default" w:ascii="仿宋_GB2312" w:hAnsi="仿宋_GB2312" w:eastAsia="仿宋_GB2312" w:cs="仿宋_GB2312"/>
                <w:b/>
                <w:bCs/>
                <w:color w:val="auto"/>
                <w:sz w:val="18"/>
                <w:szCs w:val="18"/>
                <w:vertAlign w:val="baseline"/>
                <w:lang w:val="en-US" w:eastAsia="zh-CN"/>
              </w:rPr>
            </w:pPr>
          </w:p>
        </w:tc>
      </w:tr>
      <w:tr w14:paraId="48D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jc w:val="center"/>
        </w:trPr>
        <w:tc>
          <w:tcPr>
            <w:tcW w:w="2057" w:type="dxa"/>
            <w:vAlign w:val="center"/>
          </w:tcPr>
          <w:p w14:paraId="1B4F636D">
            <w:pPr>
              <w:numPr>
                <w:ilvl w:val="0"/>
                <w:numId w:val="0"/>
              </w:numPr>
              <w:jc w:val="center"/>
              <w:rPr>
                <w:rFonts w:hint="eastAsia" w:ascii="仿宋_GB2312" w:hAnsi="仿宋_GB2312" w:eastAsia="仿宋_GB2312" w:cs="仿宋_GB2312"/>
                <w:b/>
                <w:bCs/>
                <w:color w:val="auto"/>
                <w:sz w:val="18"/>
                <w:szCs w:val="18"/>
                <w:vertAlign w:val="baseline"/>
                <w:lang w:val="en-US" w:eastAsia="zh-CN"/>
              </w:rPr>
            </w:pPr>
            <w:r>
              <w:rPr>
                <w:rFonts w:hint="default" w:ascii="仿宋_GB2312" w:hAnsi="仿宋_GB2312" w:eastAsia="仿宋_GB2312" w:cs="仿宋_GB2312"/>
                <w:b/>
                <w:bCs/>
                <w:color w:val="auto"/>
                <w:sz w:val="18"/>
                <w:szCs w:val="18"/>
                <w:vertAlign w:val="baseline"/>
                <w:lang w:val="en-US" w:eastAsia="zh-CN"/>
              </w:rPr>
              <w:t>相关运营经验与业绩</w:t>
            </w:r>
            <w:r>
              <w:rPr>
                <w:rFonts w:hint="eastAsia" w:ascii="仿宋_GB2312" w:hAnsi="仿宋_GB2312" w:eastAsia="仿宋_GB2312" w:cs="仿宋_GB2312"/>
                <w:b/>
                <w:bCs/>
                <w:color w:val="auto"/>
                <w:sz w:val="18"/>
                <w:szCs w:val="18"/>
                <w:vertAlign w:val="baseline"/>
                <w:lang w:val="en-US" w:eastAsia="zh-CN"/>
              </w:rPr>
              <w:t>（10分）</w:t>
            </w:r>
          </w:p>
        </w:tc>
        <w:tc>
          <w:tcPr>
            <w:tcW w:w="7434" w:type="dxa"/>
            <w:vAlign w:val="center"/>
          </w:tcPr>
          <w:p w14:paraId="616C4FEA">
            <w:pPr>
              <w:numPr>
                <w:ilvl w:val="0"/>
                <w:numId w:val="0"/>
              </w:numPr>
              <w:spacing w:line="320" w:lineRule="exact"/>
              <w:jc w:val="left"/>
              <w:rPr>
                <w:rFonts w:hint="eastAsia" w:ascii="仿宋_GB2312" w:hAnsi="仿宋_GB2312" w:eastAsia="仿宋_GB2312" w:cs="仿宋_GB2312"/>
                <w:b/>
                <w:bCs/>
                <w:color w:val="auto"/>
                <w:sz w:val="18"/>
                <w:szCs w:val="18"/>
                <w:vertAlign w:val="baseline"/>
                <w:lang w:val="en-US" w:eastAsia="zh-CN"/>
              </w:rPr>
            </w:pPr>
            <w:r>
              <w:rPr>
                <w:rFonts w:hint="default" w:ascii="仿宋_GB2312" w:hAnsi="仿宋_GB2312" w:eastAsia="仿宋_GB2312" w:cs="仿宋_GB2312"/>
                <w:b w:val="0"/>
                <w:bCs w:val="0"/>
                <w:i w:val="0"/>
                <w:iCs w:val="0"/>
                <w:caps w:val="0"/>
                <w:color w:val="auto"/>
                <w:spacing w:val="0"/>
                <w:sz w:val="18"/>
                <w:szCs w:val="18"/>
                <w:shd w:val="clear"/>
                <w:lang w:val="en-US" w:eastAsia="zh-CN"/>
              </w:rPr>
              <w:t>同类项目经验 (</w:t>
            </w:r>
            <w:r>
              <w:rPr>
                <w:rFonts w:hint="eastAsia" w:ascii="仿宋_GB2312" w:hAnsi="仿宋_GB2312" w:eastAsia="仿宋_GB2312" w:cs="仿宋_GB2312"/>
                <w:b w:val="0"/>
                <w:bCs w:val="0"/>
                <w:i w:val="0"/>
                <w:iCs w:val="0"/>
                <w:caps w:val="0"/>
                <w:color w:val="auto"/>
                <w:spacing w:val="0"/>
                <w:sz w:val="18"/>
                <w:szCs w:val="18"/>
                <w:shd w:val="clear"/>
                <w:lang w:val="en-US" w:eastAsia="zh-CN"/>
              </w:rPr>
              <w:t>5</w:t>
            </w:r>
            <w:r>
              <w:rPr>
                <w:rFonts w:hint="default" w:ascii="仿宋_GB2312" w:hAnsi="仿宋_GB2312" w:eastAsia="仿宋_GB2312" w:cs="仿宋_GB2312"/>
                <w:b w:val="0"/>
                <w:bCs w:val="0"/>
                <w:i w:val="0"/>
                <w:iCs w:val="0"/>
                <w:caps w:val="0"/>
                <w:color w:val="auto"/>
                <w:spacing w:val="0"/>
                <w:sz w:val="18"/>
                <w:szCs w:val="18"/>
                <w:shd w:val="clear"/>
                <w:lang w:val="en-US" w:eastAsia="zh-CN"/>
              </w:rPr>
              <w:t>分</w:t>
            </w:r>
            <w:r>
              <w:rPr>
                <w:rFonts w:hint="eastAsia" w:ascii="仿宋_GB2312" w:hAnsi="仿宋_GB2312" w:eastAsia="仿宋_GB2312" w:cs="仿宋_GB2312"/>
                <w:b w:val="0"/>
                <w:bCs w:val="0"/>
                <w:i w:val="0"/>
                <w:iCs w:val="0"/>
                <w:caps w:val="0"/>
                <w:color w:val="auto"/>
                <w:spacing w:val="0"/>
                <w:sz w:val="18"/>
                <w:szCs w:val="18"/>
                <w:shd w:val="clear"/>
                <w:lang w:val="en-US" w:eastAsia="zh-CN"/>
              </w:rPr>
              <w:t>）</w:t>
            </w:r>
            <w:r>
              <w:rPr>
                <w:rFonts w:hint="default" w:ascii="仿宋_GB2312" w:hAnsi="仿宋_GB2312" w:eastAsia="仿宋_GB2312" w:cs="仿宋_GB2312"/>
                <w:b w:val="0"/>
                <w:bCs w:val="0"/>
                <w:i w:val="0"/>
                <w:iCs w:val="0"/>
                <w:caps w:val="0"/>
                <w:color w:val="auto"/>
                <w:spacing w:val="0"/>
                <w:sz w:val="18"/>
                <w:szCs w:val="18"/>
                <w:shd w:val="clear"/>
                <w:lang w:val="en-US" w:eastAsia="zh-CN"/>
              </w:rPr>
              <w:t>：具有公共文化场</w:t>
            </w:r>
            <w:r>
              <w:rPr>
                <w:rFonts w:hint="eastAsia" w:ascii="仿宋_GB2312" w:hAnsi="仿宋_GB2312" w:eastAsia="仿宋_GB2312" w:cs="仿宋_GB2312"/>
                <w:b w:val="0"/>
                <w:bCs w:val="0"/>
                <w:i w:val="0"/>
                <w:iCs w:val="0"/>
                <w:caps w:val="0"/>
                <w:color w:val="auto"/>
                <w:spacing w:val="0"/>
                <w:sz w:val="18"/>
                <w:szCs w:val="18"/>
                <w:shd w:val="clear"/>
                <w:lang w:val="en-US" w:eastAsia="zh-CN"/>
              </w:rPr>
              <w:t>所</w:t>
            </w:r>
            <w:r>
              <w:rPr>
                <w:rFonts w:hint="default" w:ascii="仿宋_GB2312" w:hAnsi="仿宋_GB2312" w:eastAsia="仿宋_GB2312" w:cs="仿宋_GB2312"/>
                <w:b w:val="0"/>
                <w:bCs w:val="0"/>
                <w:i w:val="0"/>
                <w:iCs w:val="0"/>
                <w:caps w:val="0"/>
                <w:color w:val="auto"/>
                <w:spacing w:val="0"/>
                <w:sz w:val="18"/>
                <w:szCs w:val="18"/>
                <w:shd w:val="clear"/>
                <w:lang w:val="en-US" w:eastAsia="zh-CN"/>
              </w:rPr>
              <w:t>的运营经验为最优（需提供合同关键页等证明），</w:t>
            </w:r>
            <w:r>
              <w:rPr>
                <w:rFonts w:hint="default"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其次为高端写字楼、商业综合体、学校的运营经验。</w:t>
            </w:r>
            <w:r>
              <w:rPr>
                <w:rFonts w:hint="default"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br w:type="textWrapping"/>
            </w:r>
            <w:r>
              <w:rPr>
                <w:rFonts w:hint="default"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团队配置 (5分</w:t>
            </w:r>
            <w:r>
              <w:rPr>
                <w:rFonts w:hint="eastAsia"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18"/>
                <w:szCs w:val="18"/>
                <w:shd w:val="clear"/>
                <w:lang w:val="en-US" w:eastAsia="zh-CN"/>
                <w14:textFill>
                  <w14:solidFill>
                    <w14:schemeClr w14:val="tx1"/>
                  </w14:solidFill>
                </w14:textFill>
              </w:rPr>
              <w:t>计划安排到本项目工作的管理团队成员，包括店长、配菜人员以及现场管理人员等，从事相关行业的工作经验、年限等。</w:t>
            </w:r>
          </w:p>
        </w:tc>
        <w:tc>
          <w:tcPr>
            <w:tcW w:w="1350" w:type="dxa"/>
            <w:vAlign w:val="center"/>
          </w:tcPr>
          <w:p w14:paraId="4432A302">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1417" w:type="dxa"/>
            <w:vAlign w:val="center"/>
          </w:tcPr>
          <w:p w14:paraId="262AA442">
            <w:pPr>
              <w:numPr>
                <w:ilvl w:val="0"/>
                <w:numId w:val="0"/>
              </w:numPr>
              <w:jc w:val="center"/>
              <w:rPr>
                <w:rFonts w:hint="eastAsia" w:ascii="仿宋_GB2312" w:hAnsi="仿宋_GB2312" w:eastAsia="仿宋_GB2312" w:cs="仿宋_GB2312"/>
                <w:b/>
                <w:bCs/>
                <w:color w:val="auto"/>
                <w:sz w:val="18"/>
                <w:szCs w:val="18"/>
                <w:vertAlign w:val="baseline"/>
                <w:lang w:val="en-US" w:eastAsia="zh-CN"/>
              </w:rPr>
            </w:pPr>
          </w:p>
        </w:tc>
        <w:tc>
          <w:tcPr>
            <w:tcW w:w="812" w:type="dxa"/>
            <w:vAlign w:val="center"/>
          </w:tcPr>
          <w:p w14:paraId="0CB281DB">
            <w:pPr>
              <w:numPr>
                <w:ilvl w:val="0"/>
                <w:numId w:val="0"/>
              </w:numPr>
              <w:jc w:val="center"/>
              <w:rPr>
                <w:rFonts w:hint="default" w:ascii="仿宋_GB2312" w:hAnsi="仿宋_GB2312" w:eastAsia="仿宋_GB2312" w:cs="仿宋_GB2312"/>
                <w:b/>
                <w:bCs/>
                <w:color w:val="auto"/>
                <w:sz w:val="18"/>
                <w:szCs w:val="18"/>
                <w:vertAlign w:val="baseline"/>
                <w:lang w:val="en-US" w:eastAsia="zh-CN"/>
              </w:rPr>
            </w:pPr>
          </w:p>
        </w:tc>
      </w:tr>
      <w:tr w14:paraId="08FA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2057" w:type="dxa"/>
            <w:vAlign w:val="center"/>
          </w:tcPr>
          <w:p w14:paraId="49C9880F">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运营方案与理念（30分）</w:t>
            </w:r>
          </w:p>
        </w:tc>
        <w:tc>
          <w:tcPr>
            <w:tcW w:w="7434" w:type="dxa"/>
            <w:vAlign w:val="center"/>
          </w:tcPr>
          <w:p w14:paraId="1B4C248E">
            <w:pPr>
              <w:numPr>
                <w:ilvl w:val="0"/>
                <w:numId w:val="0"/>
              </w:numPr>
              <w:spacing w:line="320" w:lineRule="exact"/>
              <w:jc w:val="left"/>
              <w:rPr>
                <w:rFonts w:hint="eastAsia" w:ascii="仿宋_GB2312" w:hAnsi="仿宋_GB2312" w:eastAsia="仿宋_GB2312" w:cs="仿宋_GB2312"/>
                <w:b w:val="0"/>
                <w:bCs w:val="0"/>
                <w:i w:val="0"/>
                <w:iCs w:val="0"/>
                <w:caps w:val="0"/>
                <w:color w:val="auto"/>
                <w:spacing w:val="0"/>
                <w:sz w:val="18"/>
                <w:szCs w:val="18"/>
                <w:shd w:val="clear"/>
              </w:rPr>
            </w:pPr>
            <w:r>
              <w:rPr>
                <w:rFonts w:hint="eastAsia" w:ascii="仿宋_GB2312" w:hAnsi="仿宋_GB2312" w:eastAsia="仿宋_GB2312" w:cs="仿宋_GB2312"/>
                <w:b w:val="0"/>
                <w:bCs w:val="0"/>
                <w:i w:val="0"/>
                <w:iCs w:val="0"/>
                <w:caps w:val="0"/>
                <w:color w:val="auto"/>
                <w:spacing w:val="0"/>
                <w:sz w:val="18"/>
                <w:szCs w:val="18"/>
                <w:shd w:val="clear"/>
              </w:rPr>
              <w:t>产品方案 (</w:t>
            </w:r>
            <w:r>
              <w:rPr>
                <w:rFonts w:hint="eastAsia" w:ascii="仿宋_GB2312" w:hAnsi="仿宋_GB2312" w:eastAsia="仿宋_GB2312" w:cs="仿宋_GB2312"/>
                <w:b w:val="0"/>
                <w:bCs w:val="0"/>
                <w:i w:val="0"/>
                <w:iCs w:val="0"/>
                <w:caps w:val="0"/>
                <w:color w:val="auto"/>
                <w:spacing w:val="0"/>
                <w:sz w:val="18"/>
                <w:szCs w:val="18"/>
                <w:shd w:val="clear"/>
                <w:lang w:val="en-US" w:eastAsia="zh-CN"/>
              </w:rPr>
              <w:t>8</w:t>
            </w:r>
            <w:r>
              <w:rPr>
                <w:rFonts w:hint="eastAsia" w:ascii="仿宋_GB2312" w:hAnsi="仿宋_GB2312" w:eastAsia="仿宋_GB2312" w:cs="仿宋_GB2312"/>
                <w:b w:val="0"/>
                <w:bCs w:val="0"/>
                <w:i w:val="0"/>
                <w:iCs w:val="0"/>
                <w:caps w:val="0"/>
                <w:color w:val="auto"/>
                <w:spacing w:val="0"/>
                <w:sz w:val="18"/>
                <w:szCs w:val="18"/>
                <w:shd w:val="clear"/>
              </w:rPr>
              <w:t>分</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rPr>
              <w:t>：</w:t>
            </w:r>
            <w:r>
              <w:rPr>
                <w:rFonts w:hint="eastAsia" w:ascii="仿宋_GB2312" w:hAnsi="仿宋_GB2312" w:eastAsia="仿宋_GB2312" w:cs="仿宋_GB2312"/>
                <w:i w:val="0"/>
                <w:iCs w:val="0"/>
                <w:caps w:val="0"/>
                <w:color w:val="auto"/>
                <w:spacing w:val="0"/>
                <w:sz w:val="18"/>
                <w:szCs w:val="18"/>
                <w:shd w:val="clear"/>
                <w:lang w:val="en-US" w:eastAsia="zh-CN"/>
              </w:rPr>
              <w:t>运营理念是否契合科技主题餐饮。</w:t>
            </w:r>
            <w:r>
              <w:rPr>
                <w:rFonts w:hint="eastAsia" w:ascii="仿宋_GB2312" w:hAnsi="仿宋_GB2312" w:eastAsia="仿宋_GB2312" w:cs="仿宋_GB2312"/>
                <w:b w:val="0"/>
                <w:bCs w:val="0"/>
                <w:i w:val="0"/>
                <w:iCs w:val="0"/>
                <w:caps w:val="0"/>
                <w:color w:val="auto"/>
                <w:spacing w:val="0"/>
                <w:sz w:val="18"/>
                <w:szCs w:val="18"/>
                <w:shd w:val="clear"/>
              </w:rPr>
              <w:t>餐食丰富性与科技主题创新</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rPr>
              <w:t>定价策略层次分明，与成本、价值匹配度高。</w:t>
            </w:r>
          </w:p>
          <w:p w14:paraId="75D97F07">
            <w:pPr>
              <w:numPr>
                <w:ilvl w:val="0"/>
                <w:numId w:val="0"/>
              </w:numPr>
              <w:spacing w:line="320" w:lineRule="exact"/>
              <w:jc w:val="left"/>
              <w:rPr>
                <w:rFonts w:hint="eastAsia" w:ascii="仿宋_GB2312" w:hAnsi="仿宋_GB2312" w:eastAsia="仿宋_GB2312" w:cs="仿宋_GB2312"/>
                <w:i w:val="0"/>
                <w:iCs w:val="0"/>
                <w:caps w:val="0"/>
                <w:color w:val="auto"/>
                <w:spacing w:val="0"/>
                <w:sz w:val="18"/>
                <w:szCs w:val="18"/>
                <w:shd w:val="clear"/>
              </w:rPr>
            </w:pPr>
            <w:r>
              <w:rPr>
                <w:rFonts w:hint="eastAsia" w:ascii="仿宋_GB2312" w:hAnsi="仿宋_GB2312" w:eastAsia="仿宋_GB2312" w:cs="仿宋_GB2312"/>
                <w:b w:val="0"/>
                <w:bCs w:val="0"/>
                <w:i w:val="0"/>
                <w:iCs w:val="0"/>
                <w:caps w:val="0"/>
                <w:color w:val="auto"/>
                <w:spacing w:val="0"/>
                <w:sz w:val="18"/>
                <w:szCs w:val="18"/>
                <w:shd w:val="clear"/>
              </w:rPr>
              <w:t>服务质量与标准</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lang w:val="en-US" w:eastAsia="zh-CN"/>
              </w:rPr>
              <w:t>8</w:t>
            </w:r>
            <w:r>
              <w:rPr>
                <w:rFonts w:hint="eastAsia" w:ascii="仿宋_GB2312" w:hAnsi="仿宋_GB2312" w:eastAsia="仿宋_GB2312" w:cs="仿宋_GB2312"/>
                <w:b w:val="0"/>
                <w:bCs w:val="0"/>
                <w:i w:val="0"/>
                <w:iCs w:val="0"/>
                <w:caps w:val="0"/>
                <w:color w:val="auto"/>
                <w:spacing w:val="0"/>
                <w:sz w:val="18"/>
                <w:szCs w:val="18"/>
                <w:shd w:val="clear"/>
              </w:rPr>
              <w:t>分</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rPr>
              <w:t>：</w:t>
            </w:r>
            <w:r>
              <w:rPr>
                <w:rFonts w:hint="eastAsia" w:ascii="仿宋_GB2312" w:hAnsi="仿宋_GB2312" w:eastAsia="仿宋_GB2312" w:cs="仿宋_GB2312"/>
                <w:i w:val="0"/>
                <w:iCs w:val="0"/>
                <w:caps w:val="0"/>
                <w:color w:val="auto"/>
                <w:spacing w:val="0"/>
                <w:sz w:val="18"/>
                <w:szCs w:val="18"/>
                <w:shd w:val="clear"/>
              </w:rPr>
              <w:t>服务流程、人员培训计划、客诉处理机制、着装规范等是否完善。</w:t>
            </w:r>
          </w:p>
          <w:p w14:paraId="33C5D103">
            <w:pPr>
              <w:numPr>
                <w:ilvl w:val="0"/>
                <w:numId w:val="0"/>
              </w:numPr>
              <w:spacing w:line="320" w:lineRule="exact"/>
              <w:jc w:val="left"/>
              <w:rPr>
                <w:rFonts w:hint="default"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i w:val="0"/>
                <w:iCs w:val="0"/>
                <w:caps w:val="0"/>
                <w:color w:val="auto"/>
                <w:spacing w:val="0"/>
                <w:sz w:val="18"/>
                <w:szCs w:val="18"/>
                <w:shd w:val="clear"/>
              </w:rPr>
              <w:t>设计与装修方案</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lang w:val="en-US" w:eastAsia="zh-CN"/>
              </w:rPr>
              <w:t>14</w:t>
            </w:r>
            <w:r>
              <w:rPr>
                <w:rFonts w:hint="eastAsia" w:ascii="仿宋_GB2312" w:hAnsi="仿宋_GB2312" w:eastAsia="仿宋_GB2312" w:cs="仿宋_GB2312"/>
                <w:b w:val="0"/>
                <w:bCs w:val="0"/>
                <w:i w:val="0"/>
                <w:iCs w:val="0"/>
                <w:caps w:val="0"/>
                <w:color w:val="auto"/>
                <w:spacing w:val="0"/>
                <w:sz w:val="18"/>
                <w:szCs w:val="18"/>
                <w:shd w:val="clear"/>
              </w:rPr>
              <w:t>分</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i w:val="0"/>
                <w:iCs w:val="0"/>
                <w:caps w:val="0"/>
                <w:color w:val="auto"/>
                <w:spacing w:val="0"/>
                <w:sz w:val="18"/>
                <w:szCs w:val="18"/>
                <w:shd w:val="clear"/>
              </w:rPr>
              <w:t>：</w:t>
            </w:r>
            <w:r>
              <w:rPr>
                <w:rFonts w:hint="eastAsia" w:ascii="仿宋_GB2312" w:hAnsi="仿宋_GB2312" w:eastAsia="仿宋_GB2312" w:cs="仿宋_GB2312"/>
                <w:i w:val="0"/>
                <w:iCs w:val="0"/>
                <w:caps w:val="0"/>
                <w:color w:val="auto"/>
                <w:spacing w:val="0"/>
                <w:sz w:val="18"/>
                <w:szCs w:val="18"/>
                <w:shd w:val="clear"/>
              </w:rPr>
              <w:t>设计</w:t>
            </w:r>
            <w:r>
              <w:rPr>
                <w:rFonts w:hint="eastAsia" w:ascii="仿宋_GB2312" w:hAnsi="仿宋_GB2312" w:eastAsia="仿宋_GB2312" w:cs="仿宋_GB2312"/>
                <w:i w:val="0"/>
                <w:iCs w:val="0"/>
                <w:caps w:val="0"/>
                <w:color w:val="auto"/>
                <w:spacing w:val="0"/>
                <w:sz w:val="18"/>
                <w:szCs w:val="18"/>
                <w:shd w:val="clear"/>
                <w:lang w:val="en-US" w:eastAsia="zh-CN"/>
              </w:rPr>
              <w:t>改造</w:t>
            </w:r>
            <w:r>
              <w:rPr>
                <w:rFonts w:hint="eastAsia" w:ascii="仿宋_GB2312" w:hAnsi="仿宋_GB2312" w:eastAsia="仿宋_GB2312" w:cs="仿宋_GB2312"/>
                <w:i w:val="0"/>
                <w:iCs w:val="0"/>
                <w:caps w:val="0"/>
                <w:color w:val="auto"/>
                <w:spacing w:val="0"/>
                <w:sz w:val="18"/>
                <w:szCs w:val="18"/>
                <w:shd w:val="clear"/>
              </w:rPr>
              <w:t>方案是否与科技馆整体环境、主题和风格相协调，空间利用是否合理。积极应用智慧化手段（如扫码点餐、自助支付）提升体验与效率，方案具体可行。</w:t>
            </w:r>
            <w:r>
              <w:rPr>
                <w:rFonts w:hint="eastAsia" w:ascii="仿宋_GB2312" w:hAnsi="仿宋_GB2312" w:eastAsia="仿宋_GB2312" w:cs="仿宋_GB2312"/>
                <w:i w:val="0"/>
                <w:iCs w:val="0"/>
                <w:caps w:val="0"/>
                <w:color w:val="000000" w:themeColor="text1"/>
                <w:spacing w:val="0"/>
                <w:sz w:val="18"/>
                <w:szCs w:val="18"/>
                <w:shd w:val="clear"/>
                <w:lang w:val="en-US" w:eastAsia="zh-CN"/>
                <w14:textFill>
                  <w14:solidFill>
                    <w14:schemeClr w14:val="tx1"/>
                  </w14:solidFill>
                </w14:textFill>
              </w:rPr>
              <w:t>餐厅排水、排烟、厨余垃圾处理等详细改造方案，以上均须满足现场制售相关要求。</w:t>
            </w:r>
          </w:p>
        </w:tc>
        <w:tc>
          <w:tcPr>
            <w:tcW w:w="1350" w:type="dxa"/>
            <w:vAlign w:val="center"/>
          </w:tcPr>
          <w:p w14:paraId="4045F373">
            <w:pPr>
              <w:numPr>
                <w:ilvl w:val="0"/>
                <w:numId w:val="0"/>
              </w:numPr>
              <w:spacing w:line="360" w:lineRule="auto"/>
              <w:jc w:val="center"/>
              <w:rPr>
                <w:rFonts w:hint="eastAsia" w:ascii="仿宋_GB2312" w:hAnsi="仿宋_GB2312" w:eastAsia="仿宋_GB2312" w:cs="仿宋_GB2312"/>
                <w:b w:val="0"/>
                <w:bCs w:val="0"/>
                <w:color w:val="auto"/>
                <w:sz w:val="18"/>
                <w:szCs w:val="18"/>
                <w:vertAlign w:val="baseline"/>
                <w:lang w:val="en-US" w:eastAsia="zh-CN"/>
              </w:rPr>
            </w:pPr>
          </w:p>
        </w:tc>
        <w:tc>
          <w:tcPr>
            <w:tcW w:w="1417" w:type="dxa"/>
            <w:vAlign w:val="center"/>
          </w:tcPr>
          <w:p w14:paraId="1EFA59F3">
            <w:pPr>
              <w:numPr>
                <w:ilvl w:val="0"/>
                <w:numId w:val="0"/>
              </w:numPr>
              <w:jc w:val="center"/>
              <w:rPr>
                <w:rFonts w:hint="eastAsia" w:ascii="仿宋_GB2312" w:hAnsi="仿宋_GB2312" w:eastAsia="仿宋_GB2312" w:cs="仿宋_GB2312"/>
                <w:i w:val="0"/>
                <w:iCs w:val="0"/>
                <w:caps w:val="0"/>
                <w:color w:val="auto"/>
                <w:spacing w:val="0"/>
                <w:kern w:val="0"/>
                <w:sz w:val="18"/>
                <w:szCs w:val="18"/>
                <w:shd w:val="clear" w:fill="FFFFFF"/>
                <w:lang w:val="en-US" w:eastAsia="zh-CN" w:bidi="ar"/>
              </w:rPr>
            </w:pPr>
          </w:p>
        </w:tc>
        <w:tc>
          <w:tcPr>
            <w:tcW w:w="812" w:type="dxa"/>
            <w:vAlign w:val="center"/>
          </w:tcPr>
          <w:p w14:paraId="22080C8F">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p>
        </w:tc>
      </w:tr>
      <w:tr w14:paraId="2E62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057" w:type="dxa"/>
            <w:vAlign w:val="center"/>
          </w:tcPr>
          <w:p w14:paraId="618FBCD1">
            <w:pPr>
              <w:numPr>
                <w:ilvl w:val="0"/>
                <w:numId w:val="0"/>
              </w:numPr>
              <w:jc w:val="center"/>
              <w:rPr>
                <w:rFonts w:hint="eastAsia" w:ascii="仿宋_GB2312" w:hAnsi="仿宋_GB2312" w:eastAsia="仿宋_GB2312" w:cs="仿宋_GB2312"/>
                <w:b/>
                <w:bCs/>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食品安全相关制度</w:t>
            </w:r>
          </w:p>
          <w:p w14:paraId="71426A98">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（30分）</w:t>
            </w:r>
          </w:p>
        </w:tc>
        <w:tc>
          <w:tcPr>
            <w:tcW w:w="7434" w:type="dxa"/>
            <w:vAlign w:val="center"/>
          </w:tcPr>
          <w:p w14:paraId="31AA8CE1">
            <w:pPr>
              <w:numPr>
                <w:ilvl w:val="-1"/>
                <w:numId w:val="0"/>
              </w:numPr>
              <w:jc w:val="left"/>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i w:val="0"/>
                <w:iCs w:val="0"/>
                <w:caps w:val="0"/>
                <w:color w:val="auto"/>
                <w:spacing w:val="0"/>
                <w:sz w:val="18"/>
                <w:szCs w:val="18"/>
                <w:shd w:val="clear"/>
              </w:rPr>
              <w:t>具备完整的食品安全管理体系</w:t>
            </w:r>
            <w:r>
              <w:rPr>
                <w:rFonts w:hint="eastAsia" w:ascii="仿宋_GB2312" w:hAnsi="仿宋_GB2312" w:eastAsia="仿宋_GB2312" w:cs="仿宋_GB2312"/>
                <w:b w:val="0"/>
                <w:bCs w:val="0"/>
                <w:i w:val="0"/>
                <w:iCs w:val="0"/>
                <w:caps w:val="0"/>
                <w:color w:val="auto"/>
                <w:spacing w:val="0"/>
                <w:sz w:val="18"/>
                <w:szCs w:val="18"/>
                <w:shd w:val="clear"/>
                <w:lang w:eastAsia="zh-CN"/>
              </w:rPr>
              <w:t>：</w:t>
            </w:r>
            <w:r>
              <w:rPr>
                <w:rFonts w:hint="eastAsia" w:ascii="仿宋_GB2312" w:hAnsi="仿宋_GB2312" w:eastAsia="仿宋_GB2312" w:cs="仿宋_GB2312"/>
                <w:b w:val="0"/>
                <w:bCs w:val="0"/>
                <w:color w:val="auto"/>
                <w:sz w:val="18"/>
                <w:szCs w:val="18"/>
                <w:vertAlign w:val="baseline"/>
                <w:lang w:val="en-US" w:eastAsia="zh-CN"/>
              </w:rPr>
              <w:t>食品溯源相关检测报告、</w:t>
            </w:r>
            <w:r>
              <w:rPr>
                <w:rFonts w:hint="eastAsia" w:ascii="仿宋_GB2312" w:hAnsi="仿宋_GB2312" w:eastAsia="仿宋_GB2312" w:cs="仿宋_GB2312"/>
                <w:b w:val="0"/>
                <w:bCs w:val="0"/>
                <w:color w:val="auto"/>
                <w:spacing w:val="0"/>
                <w:sz w:val="18"/>
                <w:szCs w:val="18"/>
                <w:shd w:val="clear" w:fill="FFFFFF"/>
                <w:lang w:val="en-US" w:eastAsia="zh-CN"/>
              </w:rPr>
              <w:t>《进货查验和查验记录制度》《食品安全突发事件处置制度》《食品安全自检自查与报告制度》《食品添加剂管理制度》《从业人员“五病”调离制度》《餐饮具清洗消毒制度》《食品安全储藏管理制度》等食品安全制度，每缺少一项扣5分。</w:t>
            </w:r>
          </w:p>
        </w:tc>
        <w:tc>
          <w:tcPr>
            <w:tcW w:w="1350" w:type="dxa"/>
            <w:vAlign w:val="center"/>
          </w:tcPr>
          <w:p w14:paraId="79231436">
            <w:pPr>
              <w:numPr>
                <w:ilvl w:val="0"/>
                <w:numId w:val="0"/>
              </w:numPr>
              <w:spacing w:line="360" w:lineRule="auto"/>
              <w:jc w:val="center"/>
              <w:rPr>
                <w:rFonts w:hint="eastAsia" w:ascii="仿宋_GB2312" w:hAnsi="仿宋_GB2312" w:eastAsia="仿宋_GB2312" w:cs="仿宋_GB2312"/>
                <w:b w:val="0"/>
                <w:bCs w:val="0"/>
                <w:color w:val="auto"/>
                <w:sz w:val="18"/>
                <w:szCs w:val="18"/>
                <w:vertAlign w:val="baseline"/>
                <w:lang w:val="en-US" w:eastAsia="zh-CN"/>
              </w:rPr>
            </w:pPr>
          </w:p>
        </w:tc>
        <w:tc>
          <w:tcPr>
            <w:tcW w:w="1417" w:type="dxa"/>
            <w:vAlign w:val="center"/>
          </w:tcPr>
          <w:p w14:paraId="44E1D3E5">
            <w:pPr>
              <w:numPr>
                <w:ilvl w:val="0"/>
                <w:numId w:val="0"/>
              </w:numPr>
              <w:jc w:val="center"/>
              <w:rPr>
                <w:rFonts w:hint="eastAsia" w:ascii="仿宋_GB2312" w:hAnsi="仿宋_GB2312" w:eastAsia="仿宋_GB2312" w:cs="仿宋_GB2312"/>
                <w:i w:val="0"/>
                <w:iCs w:val="0"/>
                <w:caps w:val="0"/>
                <w:color w:val="auto"/>
                <w:spacing w:val="0"/>
                <w:kern w:val="0"/>
                <w:sz w:val="18"/>
                <w:szCs w:val="18"/>
                <w:shd w:val="clear" w:fill="FFFFFF"/>
                <w:lang w:val="en-US" w:eastAsia="zh-CN" w:bidi="ar"/>
              </w:rPr>
            </w:pPr>
          </w:p>
        </w:tc>
        <w:tc>
          <w:tcPr>
            <w:tcW w:w="812" w:type="dxa"/>
            <w:vAlign w:val="center"/>
          </w:tcPr>
          <w:p w14:paraId="745354B1">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p>
        </w:tc>
      </w:tr>
      <w:tr w14:paraId="4EA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57" w:type="dxa"/>
            <w:vAlign w:val="center"/>
          </w:tcPr>
          <w:p w14:paraId="06F363CA">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bCs/>
                <w:color w:val="auto"/>
                <w:sz w:val="18"/>
                <w:szCs w:val="18"/>
                <w:vertAlign w:val="baseline"/>
                <w:lang w:val="en-US" w:eastAsia="zh-CN"/>
              </w:rPr>
              <w:t>报价（20分）</w:t>
            </w:r>
          </w:p>
        </w:tc>
        <w:tc>
          <w:tcPr>
            <w:tcW w:w="7434" w:type="dxa"/>
            <w:vAlign w:val="center"/>
          </w:tcPr>
          <w:p w14:paraId="4FF4A73E">
            <w:pPr>
              <w:numPr>
                <w:ilvl w:val="0"/>
                <w:numId w:val="0"/>
              </w:numPr>
              <w:jc w:val="left"/>
              <w:rPr>
                <w:rFonts w:hint="eastAsia" w:ascii="仿宋_GB2312" w:hAnsi="仿宋_GB2312" w:eastAsia="仿宋_GB2312" w:cs="仿宋_GB2312"/>
                <w:b w:val="0"/>
                <w:bCs w:val="0"/>
                <w:color w:val="auto"/>
                <w:sz w:val="18"/>
                <w:szCs w:val="18"/>
                <w:vertAlign w:val="baseline"/>
                <w:lang w:val="en-US" w:eastAsia="zh-CN"/>
              </w:rPr>
            </w:pPr>
            <w:r>
              <w:rPr>
                <w:rFonts w:hint="eastAsia" w:ascii="仿宋_GB2312" w:hAnsi="仿宋_GB2312" w:eastAsia="仿宋_GB2312" w:cs="仿宋_GB2312"/>
                <w:b w:val="0"/>
                <w:bCs w:val="0"/>
                <w:color w:val="auto"/>
                <w:sz w:val="18"/>
                <w:szCs w:val="18"/>
                <w:vertAlign w:val="baseline"/>
                <w:lang w:val="en-US" w:eastAsia="zh-CN"/>
              </w:rPr>
              <w:t>基准报价（流水的20%），分成比例最高的得20分，每下降1名减5分。</w:t>
            </w:r>
          </w:p>
        </w:tc>
        <w:tc>
          <w:tcPr>
            <w:tcW w:w="1350" w:type="dxa"/>
            <w:vAlign w:val="center"/>
          </w:tcPr>
          <w:p w14:paraId="3D1A18CF">
            <w:pPr>
              <w:numPr>
                <w:ilvl w:val="0"/>
                <w:numId w:val="0"/>
              </w:numPr>
              <w:spacing w:line="360" w:lineRule="auto"/>
              <w:jc w:val="center"/>
              <w:rPr>
                <w:rFonts w:hint="eastAsia" w:ascii="仿宋_GB2312" w:hAnsi="仿宋_GB2312" w:eastAsia="仿宋_GB2312" w:cs="仿宋_GB2312"/>
                <w:b w:val="0"/>
                <w:bCs w:val="0"/>
                <w:color w:val="auto"/>
                <w:sz w:val="18"/>
                <w:szCs w:val="18"/>
                <w:vertAlign w:val="baseline"/>
                <w:lang w:val="en-US" w:eastAsia="zh-CN"/>
              </w:rPr>
            </w:pPr>
          </w:p>
        </w:tc>
        <w:tc>
          <w:tcPr>
            <w:tcW w:w="1417" w:type="dxa"/>
            <w:vAlign w:val="center"/>
          </w:tcPr>
          <w:p w14:paraId="1B72A7C0">
            <w:pPr>
              <w:numPr>
                <w:ilvl w:val="0"/>
                <w:numId w:val="0"/>
              </w:numPr>
              <w:jc w:val="center"/>
              <w:rPr>
                <w:rFonts w:hint="eastAsia" w:ascii="仿宋_GB2312" w:hAnsi="仿宋_GB2312" w:eastAsia="仿宋_GB2312" w:cs="仿宋_GB2312"/>
                <w:i w:val="0"/>
                <w:iCs w:val="0"/>
                <w:caps w:val="0"/>
                <w:color w:val="auto"/>
                <w:spacing w:val="0"/>
                <w:kern w:val="0"/>
                <w:sz w:val="18"/>
                <w:szCs w:val="18"/>
                <w:shd w:val="clear" w:fill="FFFFFF"/>
                <w:lang w:val="en-US" w:eastAsia="zh-CN" w:bidi="ar"/>
              </w:rPr>
            </w:pPr>
          </w:p>
        </w:tc>
        <w:tc>
          <w:tcPr>
            <w:tcW w:w="812" w:type="dxa"/>
            <w:vAlign w:val="center"/>
          </w:tcPr>
          <w:p w14:paraId="7C9991B7">
            <w:pPr>
              <w:numPr>
                <w:ilvl w:val="0"/>
                <w:numId w:val="0"/>
              </w:numPr>
              <w:jc w:val="center"/>
              <w:rPr>
                <w:rFonts w:hint="eastAsia" w:ascii="仿宋_GB2312" w:hAnsi="仿宋_GB2312" w:eastAsia="仿宋_GB2312" w:cs="仿宋_GB2312"/>
                <w:b w:val="0"/>
                <w:bCs w:val="0"/>
                <w:color w:val="auto"/>
                <w:sz w:val="18"/>
                <w:szCs w:val="18"/>
                <w:vertAlign w:val="baseline"/>
                <w:lang w:val="en-US" w:eastAsia="zh-CN"/>
              </w:rPr>
            </w:pPr>
          </w:p>
        </w:tc>
      </w:tr>
    </w:tbl>
    <w:p w14:paraId="3525CC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b w:val="0"/>
          <w:bCs w:val="0"/>
          <w:color w:val="auto"/>
          <w:sz w:val="28"/>
          <w:szCs w:val="28"/>
          <w:lang w:val="en-US" w:eastAsia="zh-CN"/>
        </w:rPr>
        <w:t>评委：                                                          日期：</w:t>
      </w:r>
    </w:p>
    <w:p w14:paraId="44E18F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南京科技馆餐厅合作经营合同</w:t>
      </w:r>
    </w:p>
    <w:p w14:paraId="1CB38A4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（草稿）</w:t>
      </w:r>
    </w:p>
    <w:p w14:paraId="45B3A8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甲方（场地提供方）：南京科技馆  乙方（经营方）：</w:t>
      </w:r>
    </w:p>
    <w:p w14:paraId="6323A5B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地址：_______________           地址：___________________</w:t>
      </w:r>
    </w:p>
    <w:p w14:paraId="48D955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联系电话：______________       _联系电话：</w:t>
      </w:r>
    </w:p>
    <w:p w14:paraId="200B56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鉴于甲方拥有南京科技馆内指定场地的使用权，乙方具备相关食品经营资质与能力，双方本着平等自愿、互利共赢的原则，就合作经营餐厅事宜达成如下协议，以资共同信守。</w:t>
      </w:r>
    </w:p>
    <w:p w14:paraId="5E420B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一、合作标的</w:t>
      </w:r>
    </w:p>
    <w:p w14:paraId="10CA20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1.甲方提供位于南京科技馆______区域的场地（以下简称“合作场地”），场地面积为______平方米，具体位置及范围以附件一《场地平面图》为准。</w:t>
      </w:r>
    </w:p>
    <w:p w14:paraId="3D1637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2.乙方在合作场地内经营餐饮项目，经营范围包括：套餐、简餐、特色小吃。不得超出本合同约定及甲方许可范围开展经营活动。</w:t>
      </w:r>
    </w:p>
    <w:p w14:paraId="74F733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二、合作期限</w:t>
      </w:r>
    </w:p>
    <w:p w14:paraId="6C2A35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5年，合作期限自项目正式营业之日起算。</w:t>
      </w:r>
    </w:p>
    <w:p w14:paraId="491914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三、分成收入及支付方式</w:t>
      </w:r>
    </w:p>
    <w:p w14:paraId="70D14A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1.采用保底+营业额提成模式，馆方比例不低于20%，保底45万元/年。</w:t>
      </w:r>
    </w:p>
    <w:p w14:paraId="04C3BD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2.支付周期及方式：分成收入按月支付，经双方核对账务后，甲方开具票据，乙方应于收到票据10日内通过银行转账方式支付至甲方指定账户。</w:t>
      </w:r>
    </w:p>
    <w:p w14:paraId="57AA08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3.甲方指定账户信息：</w:t>
      </w:r>
    </w:p>
    <w:p w14:paraId="365E87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开户名：____________________</w:t>
      </w:r>
    </w:p>
    <w:p w14:paraId="7D74F8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开户行：____________________</w:t>
      </w:r>
    </w:p>
    <w:p w14:paraId="52B69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账 号：____________________</w:t>
      </w:r>
    </w:p>
    <w:p w14:paraId="6FB4CC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4.乙方经营期间产生的水电费、物业费、垃圾清运费、税费等所有经营成本及相关费用，均由乙方自行承担。</w:t>
      </w:r>
    </w:p>
    <w:p w14:paraId="6F598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四、双方权利与义务</w:t>
      </w:r>
    </w:p>
    <w:p w14:paraId="3DEA58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（一）甲方权利与义务</w:t>
      </w:r>
    </w:p>
    <w:p w14:paraId="152466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1.按照合同约定向乙方提供合作场地，并确保场地具备基本的经营使用条件（如水电接入等）。</w:t>
      </w:r>
    </w:p>
    <w:p w14:paraId="0EA563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2.有权对乙方的经营资质、商品质量、服务规范、环境卫生等进行监督检查，对乙方不符合约定或甲方管理要求的行为，有权要求乙方限期整改。</w:t>
      </w:r>
    </w:p>
    <w:p w14:paraId="25188B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3.负责提供科技馆公共区域的整体安保、保洁服务，配合乙方处理经营过程中发生的与游客相关的合理诉求。</w:t>
      </w:r>
    </w:p>
    <w:p w14:paraId="3D49A6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4.有权按照合同约定收取合作费用，对乙方逾期支付费用的行为，有权追究其违约责任。</w:t>
      </w:r>
    </w:p>
    <w:p w14:paraId="3F042F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5.不得干预乙方的正常合法经营活动，不得向乙方收取本合同约定以外的其他费用。</w:t>
      </w:r>
    </w:p>
    <w:p w14:paraId="5E7E73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（二）乙方权利与义务</w:t>
      </w:r>
    </w:p>
    <w:p w14:paraId="57CFE4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1.有权在合作期限内，在约定范围内使用合作场地开展经营活动。</w:t>
      </w:r>
    </w:p>
    <w:p w14:paraId="417173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2.应具备合法有效的《营业执照》《食品经营许可证》等相关经营资质，并将资质复印件交甲方备案，确保经营活动合法合规。</w:t>
      </w:r>
    </w:p>
    <w:p w14:paraId="5FF45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负责合作场地的装修装饰、设备购置与安装，装修方案须经甲方审核同意，装修过程应遵守甲方施工现场管理规定，费用由乙方自行承担。装修及设备所有权归乙方所有，合同期满或解除后，乙方可自行处置，但不得损坏场地主体结构。</w:t>
      </w:r>
    </w:p>
    <w:p w14:paraId="671A7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4.保证所经营的商品及提供的服务符合国家食品安全标准及相关质量要求，建立健全商品进货查验、索证索票等管理制度，对商品质量承担全部责任。</w:t>
      </w:r>
    </w:p>
    <w:p w14:paraId="4E1E6E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5.严格遵守甲方制定的科技馆游客管理、环境卫生、消防安全等规章制度，配备必要的消防安全设施，接受甲方的日常监督与管理，及时整改甲方提出的问题。</w:t>
      </w:r>
    </w:p>
    <w:p w14:paraId="447097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6.负责餐厅的日常运营管理，配备合格的从业人员，从业人员应持有效健康证明上岗，着装统一、服务规范。</w:t>
      </w:r>
    </w:p>
    <w:p w14:paraId="6B5157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7.按时足额向甲方支付合作费用，不得拖欠。</w:t>
      </w:r>
    </w:p>
    <w:p w14:paraId="08417A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8.维护合作场地及周边环境的整洁，及时清理经营产生的垃圾，保持场地卫生达标。</w:t>
      </w:r>
    </w:p>
    <w:p w14:paraId="6571D1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五、经营规范</w:t>
      </w:r>
    </w:p>
    <w:p w14:paraId="0B0B46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1.乙方应明码标价，商品价格须合理且经甲方备案，不得哄抬物价、欺诈消费者。</w:t>
      </w:r>
    </w:p>
    <w:p w14:paraId="547BA2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2.乙方不得销售假冒伪劣、过期变质、无质量合格证明的商品，不得提供不符合卫生标准的服务。</w:t>
      </w:r>
    </w:p>
    <w:p w14:paraId="00AF0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3.乙方应使用环保、可降解的包装材料，减少环境污染。</w:t>
      </w:r>
    </w:p>
    <w:p w14:paraId="4AAC98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4.乙方在经营过程中应注重服务态度，避免与游客发生争执或冲突，若发生纠纷应及时妥善处理，必要时可请求甲方协助。</w:t>
      </w:r>
    </w:p>
    <w:p w14:paraId="3EC550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六、违约责任</w:t>
      </w:r>
    </w:p>
    <w:p w14:paraId="79BF27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1.若甲方未按合同约定提供合作场地或场地存在严重问题影响乙方正常经营，应向乙方退还相应期间的固定费用，并赔偿乙方因此遭受的直接损失；逾期超过15日的，乙方有权解除合同。</w:t>
      </w:r>
    </w:p>
    <w:p w14:paraId="5A01D4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2.若乙方未按时支付合作费用，每逾期一日，应按逾期金额的0.5%向甲方支付违约金；逾期超过30日的，甲方有权单方解除合同，收回合作场地，并追究乙方的违约责任。</w:t>
      </w:r>
    </w:p>
    <w:p w14:paraId="7B5E86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若乙方超出约定经营范围经营、销售不合格商品或存在其他违法违规经营行为，甲方有权责令乙方立即整改，没收违法所得，并要求乙方支付人民币______元的违约金；情节严重的，甲方有权解除合同，由此造成的损失由乙方承担。</w:t>
      </w:r>
    </w:p>
    <w:p w14:paraId="739D98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4.因一方违约导致合同解除的，违约方应向守约方支付合同剩余期限保底金额总额20%的违约金，若违约金不足以弥补守约方损失的，违约方还应予以赔偿。</w:t>
      </w:r>
    </w:p>
    <w:p w14:paraId="05DFFF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七、合同的解除与终止</w:t>
      </w:r>
    </w:p>
    <w:p w14:paraId="3E9990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1.合同期满，本合同自动终止。</w:t>
      </w:r>
    </w:p>
    <w:p w14:paraId="032F9E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2.双方协商一致，可以书面形式解除本合同。</w:t>
      </w:r>
    </w:p>
    <w:p w14:paraId="0EDD6F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3.一方严重违约，经另一方书面催告后仍未改正的，另一方有权解除本合同。</w:t>
      </w:r>
    </w:p>
    <w:p w14:paraId="078894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因不可抗力（如自然灾害、战争、政府征收等）导致合同无法继续履行的，本合同自动终止，双方互不承担违约责任，甲方应退还乙方已支付但未实际使用期间的固定费用，乙方的装修及设备损失由其自行承担。</w:t>
      </w:r>
    </w:p>
    <w:p w14:paraId="355302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八、争议解决</w:t>
      </w:r>
    </w:p>
    <w:p w14:paraId="1B92E7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本合同履行过程中发生的争议，双方应首先友好协商解决；协商不成的，任何一方均有权向甲方所在地有管辖权的人民法院提起诉讼。</w:t>
      </w:r>
    </w:p>
    <w:p w14:paraId="505254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九、其他条款</w:t>
      </w:r>
    </w:p>
    <w:p w14:paraId="1E4EBE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1.本合同附件（《场地平面图》《乙方经营资质复印件》等）是本合同不可分割的组成部分，与本合同具有同等法律效力。</w:t>
      </w:r>
    </w:p>
    <w:p w14:paraId="3A689A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2.本合同自双方签字盖章之日起生效。</w:t>
      </w:r>
    </w:p>
    <w:p w14:paraId="2057D6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3.本合同一式两份，甲乙双方各执一份，具有同等法律效力。</w:t>
      </w:r>
    </w:p>
    <w:p w14:paraId="668007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甲方（盖章）：南京科技馆</w:t>
      </w:r>
    </w:p>
    <w:p w14:paraId="7BF7A0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法定代表人（签字）：________________</w:t>
      </w:r>
    </w:p>
    <w:p w14:paraId="0D1837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签订日期：______年______月______日</w:t>
      </w:r>
    </w:p>
    <w:p w14:paraId="287747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乙方（盖章）：____________________</w:t>
      </w:r>
    </w:p>
    <w:p w14:paraId="50C574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法定代表人 / 负责人（签字）：________________</w:t>
      </w:r>
    </w:p>
    <w:p w14:paraId="2A4568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仿宋_GB2312" w:hAnsi="仿宋_GB2312" w:eastAsia="仿宋_GB2312" w:cs="仿宋_GB2312"/>
          <w:b/>
          <w:bCs/>
          <w:sz w:val="28"/>
          <w:szCs w:val="28"/>
          <w:u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sz w:val="28"/>
          <w:szCs w:val="28"/>
          <w:u w:val="none"/>
          <w:lang w:val="en-US" w:eastAsia="zh-CN"/>
        </w:rPr>
        <w:t>签订日期：______年______月______</w:t>
      </w:r>
    </w:p>
    <w:p w14:paraId="28513F1A">
      <w:pPr>
        <w:rPr>
          <w:rFonts w:hint="eastAsia" w:ascii="仿宋_GB2312" w:hAnsi="仿宋_GB2312" w:eastAsia="仿宋_GB2312" w:cs="仿宋_GB2312"/>
          <w:b/>
          <w:bCs/>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4B77"/>
    <w:rsid w:val="08F63846"/>
    <w:rsid w:val="0D1D3A97"/>
    <w:rsid w:val="0F362BEE"/>
    <w:rsid w:val="162B2D81"/>
    <w:rsid w:val="28125B4F"/>
    <w:rsid w:val="2AD51B8A"/>
    <w:rsid w:val="2B1A4D1A"/>
    <w:rsid w:val="2CBA4A07"/>
    <w:rsid w:val="337551E4"/>
    <w:rsid w:val="39BB12C9"/>
    <w:rsid w:val="3CD70CBD"/>
    <w:rsid w:val="3D850719"/>
    <w:rsid w:val="3E9926CE"/>
    <w:rsid w:val="3EE53B65"/>
    <w:rsid w:val="4EB175C0"/>
    <w:rsid w:val="504F7091"/>
    <w:rsid w:val="51EB2DE9"/>
    <w:rsid w:val="532E7431"/>
    <w:rsid w:val="540041D6"/>
    <w:rsid w:val="542D1548"/>
    <w:rsid w:val="575651A9"/>
    <w:rsid w:val="639E415F"/>
    <w:rsid w:val="678B3822"/>
    <w:rsid w:val="69DA3A17"/>
    <w:rsid w:val="6B761DEA"/>
    <w:rsid w:val="6E1D3B76"/>
    <w:rsid w:val="6F6312FD"/>
    <w:rsid w:val="7B02692A"/>
    <w:rsid w:val="7BE00E3F"/>
    <w:rsid w:val="7F82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after="0"/>
      <w:ind w:firstLine="0" w:firstLineChars="0"/>
      <w:jc w:val="center"/>
      <w:outlineLvl w:val="0"/>
    </w:pPr>
    <w:rPr>
      <w:rFonts w:hint="eastAsia" w:ascii="Times New Roman" w:hAnsi="Times New Roman" w:eastAsia="方正小标宋_GBK" w:cs="Times New Roman"/>
      <w:b/>
      <w:color w:val="000000" w:themeColor="text1"/>
      <w:kern w:val="44"/>
      <w:sz w:val="44"/>
      <w:szCs w:val="44"/>
      <w14:textFill>
        <w14:solidFill>
          <w14:schemeClr w14:val="tx1"/>
        </w14:solidFill>
      </w14:textFill>
    </w:rPr>
  </w:style>
  <w:style w:type="paragraph" w:styleId="3">
    <w:name w:val="heading 2"/>
    <w:basedOn w:val="1"/>
    <w:next w:val="1"/>
    <w:unhideWhenUsed/>
    <w:qFormat/>
    <w:uiPriority w:val="0"/>
    <w:pPr>
      <w:widowControl/>
      <w:spacing w:before="0" w:beforeAutospacing="0" w:after="0" w:afterAutospacing="0" w:line="312" w:lineRule="auto"/>
      <w:ind w:firstLine="883" w:firstLineChars="200"/>
      <w:jc w:val="left"/>
      <w:outlineLvl w:val="1"/>
    </w:pPr>
    <w:rPr>
      <w:rFonts w:ascii="Times New Roman" w:hAnsi="Times New Roman" w:eastAsia="黑体" w:cs="Times New Roman"/>
      <w:kern w:val="0"/>
      <w:sz w:val="32"/>
      <w:szCs w:val="32"/>
    </w:rPr>
  </w:style>
  <w:style w:type="paragraph" w:styleId="4">
    <w:name w:val="heading 3"/>
    <w:basedOn w:val="1"/>
    <w:next w:val="1"/>
    <w:unhideWhenUsed/>
    <w:qFormat/>
    <w:uiPriority w:val="0"/>
    <w:pPr>
      <w:spacing w:before="0" w:beforeAutospacing="0" w:after="0" w:afterAutospacing="0" w:line="312" w:lineRule="auto"/>
      <w:ind w:firstLine="883" w:firstLineChars="200"/>
      <w:jc w:val="left"/>
      <w:outlineLvl w:val="2"/>
    </w:pPr>
    <w:rPr>
      <w:rFonts w:hint="eastAsia" w:ascii="宋体" w:hAnsi="宋体" w:eastAsia="楷体" w:cs="宋体"/>
      <w:bCs/>
      <w:kern w:val="0"/>
      <w:sz w:val="32"/>
      <w:szCs w:val="27"/>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4202</Words>
  <Characters>4479</Characters>
  <Lines>0</Lines>
  <Paragraphs>0</Paragraphs>
  <TotalTime>0</TotalTime>
  <ScaleCrop>false</ScaleCrop>
  <LinksUpToDate>false</LinksUpToDate>
  <CharactersWithSpaces>4568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2026-01-29T01:50:00Z</dcterms:created>
  <dc:creator>Lenovo</dc:creator>
  <cp:lastModifiedBy>周公解闷</cp:lastModifiedBy>
  <dcterms:modified xsi:type="dcterms:W3CDTF">2026-01-29T05:50:03Z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eyJoZGlkIjoiNzIyN2QwMTNlMWEzOTU5MTczMTFmODJlMmRlNjQ5M2MiLCJ1c2VySWQiOiIxMTk3NDg4NDMwIn0=</vt:lpwstr>
  </property>
  <property fmtid="{D5CDD505-2E9C-101B-9397-08002B2CF9AE}" pid="4" name="ICV">
    <vt:lpwstr>43C67CC3B0EC430AAF09442FC33D6D1C_13</vt:lpwstr>
  </property>
</Properties>
</file>