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D69B2">
      <w:pPr>
        <w:keepNext w:val="0"/>
        <w:keepLines w:val="0"/>
        <w:widowControl/>
        <w:suppressLineNumbers w:val="0"/>
        <w:jc w:val="center"/>
        <w:rPr>
          <w:rFonts w:hint="eastAsia" w:ascii="黑体" w:hAnsi="黑体" w:eastAsia="黑体" w:cs="黑体"/>
          <w:b w:val="0"/>
          <w:bCs w:val="0"/>
          <w:color w:val="036EFF"/>
          <w:kern w:val="0"/>
          <w:sz w:val="52"/>
          <w:szCs w:val="52"/>
          <w:lang w:val="en-US" w:eastAsia="zh-CN" w:bidi="ar"/>
        </w:rPr>
      </w:pPr>
    </w:p>
    <w:p w14:paraId="1FE787B1">
      <w:pPr>
        <w:keepNext w:val="0"/>
        <w:keepLines w:val="0"/>
        <w:widowControl/>
        <w:suppressLineNumbers w:val="0"/>
        <w:jc w:val="center"/>
        <w:rPr>
          <w:rFonts w:hint="eastAsia" w:ascii="黑体" w:hAnsi="黑体" w:eastAsia="黑体" w:cs="黑体"/>
          <w:b w:val="0"/>
          <w:bCs w:val="0"/>
          <w:color w:val="036EFF"/>
          <w:kern w:val="0"/>
          <w:sz w:val="52"/>
          <w:szCs w:val="52"/>
          <w:lang w:val="en-US" w:eastAsia="zh-CN" w:bidi="ar"/>
        </w:rPr>
      </w:pPr>
    </w:p>
    <w:p w14:paraId="5195AAA5">
      <w:pPr>
        <w:keepNext w:val="0"/>
        <w:keepLines w:val="0"/>
        <w:widowControl/>
        <w:suppressLineNumbers w:val="0"/>
        <w:jc w:val="center"/>
        <w:rPr>
          <w:rFonts w:hint="eastAsia" w:ascii="黑体" w:hAnsi="黑体" w:eastAsia="黑体" w:cs="黑体"/>
          <w:b w:val="0"/>
          <w:bCs w:val="0"/>
          <w:color w:val="036EFF"/>
          <w:kern w:val="0"/>
          <w:sz w:val="52"/>
          <w:szCs w:val="52"/>
          <w:lang w:val="en-US" w:eastAsia="zh-CN" w:bidi="ar"/>
        </w:rPr>
      </w:pPr>
      <w:r>
        <w:rPr>
          <w:rFonts w:hint="eastAsia" w:ascii="黑体" w:hAnsi="黑体" w:eastAsia="黑体" w:cs="黑体"/>
          <w:b w:val="0"/>
          <w:bCs w:val="0"/>
          <w:color w:val="036EFF"/>
          <w:kern w:val="0"/>
          <w:sz w:val="52"/>
          <w:szCs w:val="52"/>
          <w:lang w:val="en-US" w:eastAsia="zh-CN" w:bidi="ar"/>
        </w:rPr>
        <w:t>南京科技馆展品展项、基础设施设备零星维修供应商入围项目</w:t>
      </w:r>
    </w:p>
    <w:p w14:paraId="22AD9B9C">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eastAsia" w:ascii="方正小标宋简体" w:hAnsi="方正小标宋简体" w:eastAsia="方正小标宋简体" w:cs="方正小标宋简体"/>
          <w:sz w:val="44"/>
          <w:szCs w:val="44"/>
          <w:lang w:val="en-US" w:eastAsia="zh-CN"/>
        </w:rPr>
      </w:pPr>
    </w:p>
    <w:p w14:paraId="70BA1774">
      <w:pPr>
        <w:keepNext w:val="0"/>
        <w:keepLines w:val="0"/>
        <w:widowControl/>
        <w:suppressLineNumbers w:val="0"/>
        <w:jc w:val="center"/>
        <w:rPr>
          <w:rFonts w:hint="eastAsia" w:ascii="黑体" w:hAnsi="黑体" w:eastAsia="黑体" w:cs="黑体"/>
          <w:b/>
          <w:bCs/>
          <w:color w:val="036EFF"/>
          <w:kern w:val="0"/>
          <w:sz w:val="72"/>
          <w:szCs w:val="72"/>
          <w:lang w:val="en-US" w:eastAsia="zh-CN" w:bidi="ar"/>
        </w:rPr>
      </w:pPr>
      <w:r>
        <w:rPr>
          <w:rFonts w:hint="eastAsia" w:ascii="黑体" w:hAnsi="黑体" w:eastAsia="黑体" w:cs="黑体"/>
          <w:b/>
          <w:bCs/>
          <w:color w:val="036EFF"/>
          <w:kern w:val="0"/>
          <w:sz w:val="72"/>
          <w:szCs w:val="72"/>
          <w:lang w:val="en-US" w:eastAsia="zh-CN" w:bidi="ar"/>
        </w:rPr>
        <w:t>比选文件</w:t>
      </w:r>
    </w:p>
    <w:p w14:paraId="015E3CA5">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both"/>
        <w:textAlignment w:val="auto"/>
        <w:rPr>
          <w:rFonts w:hint="eastAsia" w:ascii="方正小标宋简体" w:hAnsi="方正小标宋简体" w:eastAsia="方正小标宋简体" w:cs="方正小标宋简体"/>
          <w:sz w:val="52"/>
          <w:szCs w:val="52"/>
          <w:lang w:val="en-US" w:eastAsia="zh-CN"/>
        </w:rPr>
      </w:pPr>
    </w:p>
    <w:p w14:paraId="1E97CFA9">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both"/>
        <w:textAlignment w:val="auto"/>
        <w:rPr>
          <w:rFonts w:hint="eastAsia" w:ascii="方正小标宋简体" w:hAnsi="方正小标宋简体" w:eastAsia="方正小标宋简体" w:cs="方正小标宋简体"/>
          <w:sz w:val="52"/>
          <w:szCs w:val="52"/>
          <w:lang w:val="en-US" w:eastAsia="zh-CN"/>
        </w:rPr>
      </w:pPr>
    </w:p>
    <w:p w14:paraId="5D0B8EBE">
      <w:pPr>
        <w:keepNext w:val="0"/>
        <w:keepLines w:val="0"/>
        <w:widowControl/>
        <w:suppressLineNumbers w:val="0"/>
        <w:jc w:val="left"/>
        <w:rPr>
          <w:rFonts w:ascii="MicrosoftYaHei-Bold" w:hAnsi="MicrosoftYaHei-Bold" w:eastAsia="MicrosoftYaHei-Bold" w:cs="MicrosoftYaHei-Bold"/>
          <w:b/>
          <w:bCs/>
          <w:color w:val="333333"/>
          <w:kern w:val="0"/>
          <w:sz w:val="44"/>
          <w:szCs w:val="44"/>
          <w:lang w:val="en-US" w:eastAsia="zh-CN" w:bidi="ar"/>
        </w:rPr>
      </w:pPr>
      <w:r>
        <w:rPr>
          <w:rFonts w:ascii="MicrosoftYaHei-Bold" w:hAnsi="MicrosoftYaHei-Bold" w:eastAsia="MicrosoftYaHei-Bold" w:cs="MicrosoftYaHei-Bold"/>
          <w:b/>
          <w:bCs/>
          <w:color w:val="333333"/>
          <w:kern w:val="0"/>
          <w:sz w:val="44"/>
          <w:szCs w:val="44"/>
          <w:lang w:val="en-US" w:eastAsia="zh-CN" w:bidi="ar"/>
        </w:rPr>
        <w:t>采购单位：南京科技馆</w:t>
      </w:r>
    </w:p>
    <w:p w14:paraId="4C0C1802">
      <w:pPr>
        <w:keepNext w:val="0"/>
        <w:keepLines w:val="0"/>
        <w:widowControl/>
        <w:suppressLineNumbers w:val="0"/>
        <w:jc w:val="left"/>
        <w:rPr>
          <w:rFonts w:ascii="MicrosoftYaHei-Bold" w:hAnsi="MicrosoftYaHei-Bold" w:eastAsia="MicrosoftYaHei-Bold" w:cs="MicrosoftYaHei-Bold"/>
          <w:b/>
          <w:bCs/>
          <w:color w:val="333333"/>
          <w:kern w:val="0"/>
          <w:sz w:val="32"/>
          <w:szCs w:val="32"/>
          <w:lang w:val="en-US" w:eastAsia="zh-CN" w:bidi="ar"/>
        </w:rPr>
      </w:pPr>
    </w:p>
    <w:p w14:paraId="05A01F44">
      <w:pPr>
        <w:keepNext w:val="0"/>
        <w:keepLines w:val="0"/>
        <w:widowControl/>
        <w:suppressLineNumbers w:val="0"/>
        <w:jc w:val="left"/>
        <w:rPr>
          <w:rFonts w:ascii="MicrosoftYaHei-Bold" w:hAnsi="MicrosoftYaHei-Bold" w:eastAsia="MicrosoftYaHei-Bold" w:cs="MicrosoftYaHei-Bold"/>
          <w:b/>
          <w:bCs/>
          <w:color w:val="333333"/>
          <w:kern w:val="0"/>
          <w:sz w:val="32"/>
          <w:szCs w:val="32"/>
          <w:lang w:val="en-US" w:eastAsia="zh-CN" w:bidi="ar"/>
        </w:rPr>
      </w:pPr>
    </w:p>
    <w:p w14:paraId="499B3EB0">
      <w:pPr>
        <w:keepNext w:val="0"/>
        <w:keepLines w:val="0"/>
        <w:widowControl/>
        <w:suppressLineNumbers w:val="0"/>
        <w:jc w:val="left"/>
        <w:rPr>
          <w:rFonts w:ascii="MicrosoftYaHei-Bold" w:hAnsi="MicrosoftYaHei-Bold" w:eastAsia="MicrosoftYaHei-Bold" w:cs="MicrosoftYaHei-Bold"/>
          <w:b/>
          <w:bCs/>
          <w:color w:val="333333"/>
          <w:kern w:val="0"/>
          <w:sz w:val="32"/>
          <w:szCs w:val="32"/>
          <w:lang w:val="en-US" w:eastAsia="zh-CN" w:bidi="ar"/>
        </w:rPr>
      </w:pPr>
    </w:p>
    <w:p w14:paraId="0E33FCB2">
      <w:pPr>
        <w:keepNext w:val="0"/>
        <w:keepLines w:val="0"/>
        <w:widowControl/>
        <w:suppressLineNumbers w:val="0"/>
        <w:jc w:val="left"/>
        <w:rPr>
          <w:rFonts w:ascii="MicrosoftYaHei-Bold" w:hAnsi="MicrosoftYaHei-Bold" w:eastAsia="MicrosoftYaHei-Bold" w:cs="MicrosoftYaHei-Bold"/>
          <w:b/>
          <w:bCs/>
          <w:color w:val="333333"/>
          <w:kern w:val="0"/>
          <w:sz w:val="32"/>
          <w:szCs w:val="32"/>
          <w:lang w:val="en-US" w:eastAsia="zh-CN" w:bidi="ar"/>
        </w:rPr>
      </w:pPr>
    </w:p>
    <w:p w14:paraId="6456C242">
      <w:pPr>
        <w:keepNext w:val="0"/>
        <w:keepLines w:val="0"/>
        <w:widowControl/>
        <w:suppressLineNumbers w:val="0"/>
        <w:jc w:val="left"/>
        <w:rPr>
          <w:sz w:val="36"/>
          <w:szCs w:val="36"/>
        </w:rPr>
      </w:pPr>
      <w:r>
        <w:rPr>
          <w:rFonts w:ascii="微软雅黑" w:hAnsi="微软雅黑" w:eastAsia="微软雅黑" w:cs="微软雅黑"/>
          <w:color w:val="666666"/>
          <w:kern w:val="0"/>
          <w:sz w:val="36"/>
          <w:szCs w:val="36"/>
          <w:lang w:val="en-US" w:eastAsia="zh-CN" w:bidi="ar"/>
        </w:rPr>
        <w:t>评审方法：</w:t>
      </w:r>
      <w:r>
        <w:rPr>
          <w:rFonts w:hint="eastAsia" w:ascii="微软雅黑" w:hAnsi="微软雅黑" w:eastAsia="微软雅黑" w:cs="微软雅黑"/>
          <w:color w:val="333333"/>
          <w:kern w:val="0"/>
          <w:sz w:val="36"/>
          <w:szCs w:val="36"/>
          <w:lang w:val="en-US" w:eastAsia="zh-CN" w:bidi="ar"/>
        </w:rPr>
        <w:t xml:space="preserve">综合评分法 </w:t>
      </w:r>
    </w:p>
    <w:p w14:paraId="1B149DB2">
      <w:pPr>
        <w:keepNext w:val="0"/>
        <w:keepLines w:val="0"/>
        <w:widowControl/>
        <w:suppressLineNumbers w:val="0"/>
        <w:jc w:val="left"/>
        <w:rPr>
          <w:sz w:val="36"/>
          <w:szCs w:val="36"/>
        </w:rPr>
      </w:pPr>
      <w:r>
        <w:rPr>
          <w:rFonts w:hint="eastAsia" w:ascii="微软雅黑" w:hAnsi="微软雅黑" w:eastAsia="微软雅黑" w:cs="微软雅黑"/>
          <w:color w:val="666666"/>
          <w:kern w:val="0"/>
          <w:sz w:val="36"/>
          <w:szCs w:val="36"/>
          <w:lang w:val="en-US" w:eastAsia="zh-CN" w:bidi="ar"/>
        </w:rPr>
        <w:t>服务品目：</w:t>
      </w:r>
      <w:r>
        <w:rPr>
          <w:rFonts w:hint="eastAsia" w:ascii="微软雅黑" w:hAnsi="微软雅黑" w:eastAsia="微软雅黑" w:cs="微软雅黑"/>
          <w:color w:val="333333"/>
          <w:kern w:val="0"/>
          <w:sz w:val="36"/>
          <w:szCs w:val="36"/>
          <w:lang w:val="en-US" w:eastAsia="zh-CN" w:bidi="ar"/>
        </w:rPr>
        <w:t xml:space="preserve">零星维修  </w:t>
      </w:r>
    </w:p>
    <w:p w14:paraId="6BB762B6">
      <w:pPr>
        <w:keepNext w:val="0"/>
        <w:keepLines w:val="0"/>
        <w:widowControl/>
        <w:suppressLineNumbers w:val="0"/>
        <w:jc w:val="left"/>
        <w:rPr>
          <w:sz w:val="36"/>
          <w:szCs w:val="36"/>
        </w:rPr>
      </w:pPr>
      <w:r>
        <w:rPr>
          <w:rFonts w:hint="eastAsia" w:ascii="微软雅黑" w:hAnsi="微软雅黑" w:eastAsia="微软雅黑" w:cs="微软雅黑"/>
          <w:color w:val="666666"/>
          <w:kern w:val="0"/>
          <w:sz w:val="36"/>
          <w:szCs w:val="36"/>
          <w:lang w:val="en-US" w:eastAsia="zh-CN" w:bidi="ar"/>
        </w:rPr>
        <w:t>项目联系人：</w:t>
      </w:r>
      <w:r>
        <w:rPr>
          <w:rFonts w:hint="eastAsia" w:ascii="微软雅黑" w:hAnsi="微软雅黑" w:eastAsia="微软雅黑" w:cs="微软雅黑"/>
          <w:color w:val="333333"/>
          <w:kern w:val="0"/>
          <w:sz w:val="36"/>
          <w:szCs w:val="36"/>
          <w:lang w:val="en-US" w:eastAsia="zh-CN" w:bidi="ar"/>
        </w:rPr>
        <w:t xml:space="preserve">翁帆帆 </w:t>
      </w:r>
    </w:p>
    <w:p w14:paraId="6ED4A031">
      <w:pPr>
        <w:keepNext w:val="0"/>
        <w:keepLines w:val="0"/>
        <w:widowControl/>
        <w:suppressLineNumbers w:val="0"/>
        <w:jc w:val="left"/>
        <w:rPr>
          <w:sz w:val="36"/>
          <w:szCs w:val="36"/>
        </w:rPr>
      </w:pPr>
      <w:r>
        <w:rPr>
          <w:rFonts w:hint="eastAsia" w:ascii="微软雅黑" w:hAnsi="微软雅黑" w:eastAsia="微软雅黑" w:cs="微软雅黑"/>
          <w:color w:val="666666"/>
          <w:kern w:val="0"/>
          <w:sz w:val="36"/>
          <w:szCs w:val="36"/>
          <w:lang w:val="en-US" w:eastAsia="zh-CN" w:bidi="ar"/>
        </w:rPr>
        <w:t>联系人电话：</w:t>
      </w:r>
      <w:r>
        <w:rPr>
          <w:rFonts w:hint="eastAsia" w:ascii="微软雅黑" w:hAnsi="微软雅黑" w:eastAsia="微软雅黑" w:cs="微软雅黑"/>
          <w:color w:val="333333"/>
          <w:kern w:val="0"/>
          <w:sz w:val="36"/>
          <w:szCs w:val="36"/>
          <w:lang w:val="en-US" w:eastAsia="zh-CN" w:bidi="ar"/>
        </w:rPr>
        <w:t>15950522286</w:t>
      </w:r>
    </w:p>
    <w:p w14:paraId="02488ABC">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p>
    <w:p w14:paraId="133A85A8">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p>
    <w:p w14:paraId="4BE21374">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p>
    <w:p w14:paraId="762C9AAF">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p>
    <w:p w14:paraId="7089F0C6">
      <w:pPr>
        <w:keepNext w:val="0"/>
        <w:keepLines w:val="0"/>
        <w:widowControl/>
        <w:suppressLineNumbers w:val="0"/>
        <w:jc w:val="center"/>
        <w:rPr>
          <w:rFonts w:hint="eastAsia" w:ascii="黑体" w:hAnsi="黑体" w:eastAsia="黑体" w:cs="黑体"/>
          <w:b/>
          <w:bCs/>
          <w:color w:val="036EFF"/>
          <w:kern w:val="0"/>
          <w:sz w:val="72"/>
          <w:szCs w:val="72"/>
          <w:lang w:val="en-US" w:eastAsia="zh-CN" w:bidi="ar"/>
        </w:rPr>
      </w:pPr>
    </w:p>
    <w:p w14:paraId="7F1EC06C">
      <w:pPr>
        <w:keepNext w:val="0"/>
        <w:keepLines w:val="0"/>
        <w:widowControl/>
        <w:suppressLineNumbers w:val="0"/>
        <w:jc w:val="center"/>
        <w:rPr>
          <w:rFonts w:hint="eastAsia" w:ascii="黑体" w:hAnsi="黑体" w:eastAsia="黑体" w:cs="黑体"/>
          <w:b/>
          <w:bCs/>
          <w:color w:val="036EFF"/>
          <w:kern w:val="0"/>
          <w:sz w:val="72"/>
          <w:szCs w:val="72"/>
          <w:lang w:val="en-US" w:eastAsia="zh-CN" w:bidi="ar"/>
        </w:rPr>
      </w:pPr>
      <w:r>
        <w:rPr>
          <w:rFonts w:hint="eastAsia" w:ascii="黑体" w:hAnsi="黑体" w:eastAsia="黑体" w:cs="黑体"/>
          <w:b/>
          <w:bCs/>
          <w:color w:val="036EFF"/>
          <w:kern w:val="0"/>
          <w:sz w:val="72"/>
          <w:szCs w:val="72"/>
          <w:lang w:val="en-US" w:eastAsia="zh-CN" w:bidi="ar"/>
        </w:rPr>
        <w:t>目录</w:t>
      </w:r>
    </w:p>
    <w:p w14:paraId="37412253">
      <w:pPr>
        <w:keepNext w:val="0"/>
        <w:keepLines w:val="0"/>
        <w:widowControl/>
        <w:suppressLineNumbers w:val="0"/>
        <w:jc w:val="center"/>
        <w:rPr>
          <w:rFonts w:hint="eastAsia" w:ascii="黑体" w:hAnsi="黑体" w:eastAsia="黑体" w:cs="黑体"/>
          <w:b/>
          <w:bCs/>
          <w:color w:val="036EFF"/>
          <w:kern w:val="0"/>
          <w:sz w:val="72"/>
          <w:szCs w:val="72"/>
          <w:lang w:val="en-US" w:eastAsia="zh-CN" w:bidi="ar"/>
        </w:rPr>
      </w:pPr>
    </w:p>
    <w:p w14:paraId="162DAA12">
      <w:pPr>
        <w:keepNext w:val="0"/>
        <w:keepLines w:val="0"/>
        <w:widowControl/>
        <w:suppressLineNumbers w:val="0"/>
        <w:jc w:val="center"/>
        <w:rPr>
          <w:rFonts w:hint="eastAsia" w:ascii="黑体" w:hAnsi="黑体" w:eastAsia="黑体" w:cs="黑体"/>
          <w:b/>
          <w:bCs/>
          <w:color w:val="036EFF"/>
          <w:kern w:val="0"/>
          <w:sz w:val="72"/>
          <w:szCs w:val="72"/>
          <w:lang w:val="en-US" w:eastAsia="zh-CN" w:bidi="ar"/>
        </w:rPr>
      </w:pPr>
    </w:p>
    <w:p w14:paraId="2100693D">
      <w:pPr>
        <w:keepNext w:val="0"/>
        <w:keepLines w:val="0"/>
        <w:widowControl/>
        <w:suppressLineNumbers w:val="0"/>
        <w:jc w:val="left"/>
        <w:rPr>
          <w:rFonts w:hint="default" w:ascii="MicrosoftYaHei-Bold" w:hAnsi="MicrosoftYaHei-Bold" w:eastAsia="MicrosoftYaHei-Bold" w:cs="MicrosoftYaHei-Bold"/>
          <w:b/>
          <w:bCs/>
          <w:color w:val="036EFF"/>
          <w:kern w:val="0"/>
          <w:sz w:val="44"/>
          <w:szCs w:val="44"/>
          <w:lang w:val="en-US" w:eastAsia="zh-CN" w:bidi="ar"/>
        </w:rPr>
      </w:pPr>
      <w:r>
        <w:rPr>
          <w:rFonts w:hint="default" w:ascii="Times New Roman" w:hAnsi="Times New Roman" w:eastAsia="MicrosoftYaHei-Bold" w:cs="Times New Roman"/>
          <w:b/>
          <w:bCs/>
          <w:color w:val="C0C4CC"/>
          <w:kern w:val="0"/>
          <w:sz w:val="44"/>
          <w:szCs w:val="44"/>
          <w:lang w:val="en-US" w:eastAsia="zh-CN" w:bidi="ar"/>
        </w:rPr>
        <w:t xml:space="preserve">1 </w:t>
      </w:r>
      <w:r>
        <w:rPr>
          <w:rFonts w:hint="default" w:ascii="MicrosoftYaHei-Bold" w:hAnsi="MicrosoftYaHei-Bold" w:eastAsia="MicrosoftYaHei-Bold" w:cs="MicrosoftYaHei-Bold"/>
          <w:b/>
          <w:bCs/>
          <w:color w:val="036EFF"/>
          <w:kern w:val="0"/>
          <w:sz w:val="44"/>
          <w:szCs w:val="44"/>
          <w:lang w:val="en-US" w:eastAsia="zh-CN" w:bidi="ar"/>
        </w:rPr>
        <w:t xml:space="preserve">比选公告 </w:t>
      </w:r>
    </w:p>
    <w:p w14:paraId="01F90581">
      <w:pPr>
        <w:keepNext w:val="0"/>
        <w:keepLines w:val="0"/>
        <w:widowControl/>
        <w:suppressLineNumbers w:val="0"/>
        <w:jc w:val="left"/>
        <w:rPr>
          <w:rFonts w:hint="default" w:ascii="MicrosoftYaHei-Bold" w:hAnsi="MicrosoftYaHei-Bold" w:eastAsia="MicrosoftYaHei-Bold" w:cs="MicrosoftYaHei-Bold"/>
          <w:b/>
          <w:bCs/>
          <w:color w:val="036EFF"/>
          <w:kern w:val="0"/>
          <w:sz w:val="44"/>
          <w:szCs w:val="44"/>
          <w:lang w:val="en-US" w:eastAsia="zh-CN" w:bidi="ar"/>
        </w:rPr>
      </w:pPr>
    </w:p>
    <w:p w14:paraId="2D8C62A1">
      <w:pPr>
        <w:keepNext w:val="0"/>
        <w:keepLines w:val="0"/>
        <w:widowControl/>
        <w:suppressLineNumbers w:val="0"/>
        <w:jc w:val="left"/>
        <w:rPr>
          <w:rFonts w:hint="default" w:ascii="MicrosoftYaHei-Bold" w:hAnsi="MicrosoftYaHei-Bold" w:eastAsia="MicrosoftYaHei-Bold" w:cs="MicrosoftYaHei-Bold"/>
          <w:b/>
          <w:bCs/>
          <w:color w:val="036EFF"/>
          <w:kern w:val="0"/>
          <w:sz w:val="44"/>
          <w:szCs w:val="44"/>
          <w:lang w:val="en-US" w:eastAsia="zh-CN" w:bidi="ar"/>
        </w:rPr>
      </w:pPr>
      <w:r>
        <w:rPr>
          <w:rFonts w:hint="default" w:ascii="Times New Roman" w:hAnsi="Times New Roman" w:eastAsia="MicrosoftYaHei-Bold" w:cs="Times New Roman"/>
          <w:b/>
          <w:bCs/>
          <w:color w:val="C0C4CC"/>
          <w:kern w:val="0"/>
          <w:sz w:val="44"/>
          <w:szCs w:val="44"/>
          <w:lang w:val="en-US" w:eastAsia="zh-CN" w:bidi="ar"/>
        </w:rPr>
        <w:t>2</w:t>
      </w:r>
      <w:r>
        <w:rPr>
          <w:rFonts w:hint="default" w:ascii="MicrosoftYaHei-Bold" w:hAnsi="MicrosoftYaHei-Bold" w:eastAsia="MicrosoftYaHei-Bold" w:cs="MicrosoftYaHei-Bold"/>
          <w:b/>
          <w:bCs/>
          <w:color w:val="C0C4CC"/>
          <w:kern w:val="0"/>
          <w:sz w:val="44"/>
          <w:szCs w:val="44"/>
          <w:lang w:val="en-US" w:eastAsia="zh-CN" w:bidi="ar"/>
        </w:rPr>
        <w:t xml:space="preserve"> </w:t>
      </w:r>
      <w:r>
        <w:rPr>
          <w:rFonts w:hint="default" w:ascii="MicrosoftYaHei-Bold" w:hAnsi="MicrosoftYaHei-Bold" w:eastAsia="MicrosoftYaHei-Bold" w:cs="MicrosoftYaHei-Bold"/>
          <w:b/>
          <w:bCs/>
          <w:color w:val="036EFF"/>
          <w:kern w:val="0"/>
          <w:sz w:val="44"/>
          <w:szCs w:val="44"/>
          <w:lang w:val="en-US" w:eastAsia="zh-CN" w:bidi="ar"/>
        </w:rPr>
        <w:t xml:space="preserve">供应商须知 </w:t>
      </w:r>
    </w:p>
    <w:p w14:paraId="2158CDC6">
      <w:pPr>
        <w:keepNext w:val="0"/>
        <w:keepLines w:val="0"/>
        <w:widowControl/>
        <w:suppressLineNumbers w:val="0"/>
        <w:jc w:val="left"/>
        <w:rPr>
          <w:rFonts w:hint="default" w:ascii="MicrosoftYaHei-Bold" w:hAnsi="MicrosoftYaHei-Bold" w:eastAsia="MicrosoftYaHei-Bold" w:cs="MicrosoftYaHei-Bold"/>
          <w:b/>
          <w:bCs/>
          <w:color w:val="036EFF"/>
          <w:kern w:val="0"/>
          <w:sz w:val="44"/>
          <w:szCs w:val="44"/>
          <w:lang w:val="en-US" w:eastAsia="zh-CN" w:bidi="ar"/>
        </w:rPr>
      </w:pPr>
    </w:p>
    <w:p w14:paraId="0B09B632">
      <w:pPr>
        <w:keepNext w:val="0"/>
        <w:keepLines w:val="0"/>
        <w:widowControl/>
        <w:suppressLineNumbers w:val="0"/>
        <w:jc w:val="left"/>
        <w:rPr>
          <w:sz w:val="44"/>
          <w:szCs w:val="44"/>
        </w:rPr>
      </w:pPr>
      <w:r>
        <w:rPr>
          <w:rFonts w:hint="default" w:ascii="Times New Roman" w:hAnsi="Times New Roman" w:eastAsia="MicrosoftYaHei-Bold" w:cs="Times New Roman"/>
          <w:b/>
          <w:bCs/>
          <w:color w:val="C0C4CC"/>
          <w:kern w:val="0"/>
          <w:sz w:val="44"/>
          <w:szCs w:val="44"/>
          <w:lang w:val="en-US" w:eastAsia="zh-CN" w:bidi="ar"/>
        </w:rPr>
        <w:t xml:space="preserve">3 </w:t>
      </w:r>
      <w:r>
        <w:rPr>
          <w:rFonts w:hint="default" w:ascii="MicrosoftYaHei-Bold" w:hAnsi="MicrosoftYaHei-Bold" w:eastAsia="MicrosoftYaHei-Bold" w:cs="MicrosoftYaHei-Bold"/>
          <w:b/>
          <w:bCs/>
          <w:color w:val="036EFF"/>
          <w:kern w:val="0"/>
          <w:sz w:val="44"/>
          <w:szCs w:val="44"/>
          <w:lang w:val="en-US" w:eastAsia="zh-CN" w:bidi="ar"/>
        </w:rPr>
        <w:t>比选需求</w:t>
      </w:r>
    </w:p>
    <w:p w14:paraId="027C781C">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default" w:ascii="Times New Roman" w:hAnsi="Times New Roman" w:eastAsia="仿宋_GB2312" w:cs="Times New Roman"/>
          <w:kern w:val="2"/>
          <w:sz w:val="32"/>
          <w:szCs w:val="32"/>
          <w:lang w:val="en-US" w:eastAsia="zh-CN" w:bidi="ar-SA"/>
        </w:rPr>
      </w:pPr>
    </w:p>
    <w:p w14:paraId="565D9DD1">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p>
    <w:p w14:paraId="6A83C03B">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p>
    <w:p w14:paraId="234923B8">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p>
    <w:p w14:paraId="278A0725">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p>
    <w:p w14:paraId="0D5F5788">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p>
    <w:p w14:paraId="26001DEF">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p>
    <w:p w14:paraId="4A476702">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p>
    <w:p w14:paraId="59BD165F">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p>
    <w:p w14:paraId="2F1618E4">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p>
    <w:p w14:paraId="163AE2F9">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p>
    <w:p w14:paraId="10E75B6F">
      <w:pPr>
        <w:keepNext w:val="0"/>
        <w:keepLines w:val="0"/>
        <w:widowControl/>
        <w:numPr>
          <w:ilvl w:val="0"/>
          <w:numId w:val="0"/>
        </w:numPr>
        <w:suppressLineNumbers w:val="0"/>
        <w:jc w:val="center"/>
        <w:rPr>
          <w:rFonts w:hint="default" w:ascii="MicrosoftYaHei-Bold" w:hAnsi="MicrosoftYaHei-Bold" w:eastAsia="MicrosoftYaHei-Bold" w:cs="MicrosoftYaHei-Bold"/>
          <w:b/>
          <w:bCs/>
          <w:color w:val="036EFF"/>
          <w:kern w:val="0"/>
          <w:sz w:val="44"/>
          <w:szCs w:val="44"/>
          <w:lang w:val="en-US" w:eastAsia="zh-CN" w:bidi="ar"/>
        </w:rPr>
      </w:pPr>
      <w:r>
        <w:rPr>
          <w:rFonts w:hint="default" w:ascii="Times New Roman" w:hAnsi="Times New Roman" w:eastAsia="MicrosoftYaHei-Bold" w:cs="Times New Roman"/>
          <w:b/>
          <w:bCs/>
          <w:color w:val="036EFF"/>
          <w:kern w:val="0"/>
          <w:sz w:val="44"/>
          <w:szCs w:val="44"/>
          <w:lang w:val="en-US" w:eastAsia="zh-CN" w:bidi="ar"/>
        </w:rPr>
        <w:t>1.</w:t>
      </w:r>
      <w:r>
        <w:rPr>
          <w:rFonts w:hint="eastAsia" w:ascii="微软雅黑" w:hAnsi="微软雅黑" w:eastAsia="微软雅黑" w:cs="微软雅黑"/>
          <w:b/>
          <w:bCs/>
          <w:color w:val="036EFF"/>
          <w:kern w:val="0"/>
          <w:sz w:val="44"/>
          <w:szCs w:val="44"/>
          <w:lang w:val="en-US" w:eastAsia="zh-CN" w:bidi="ar"/>
        </w:rPr>
        <w:t>比选公告</w:t>
      </w:r>
    </w:p>
    <w:p w14:paraId="05F376CE">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我单位</w:t>
      </w:r>
      <w:r>
        <w:rPr>
          <w:rFonts w:hint="eastAsia" w:ascii="Times New Roman" w:hAnsi="Times New Roman" w:eastAsia="仿宋_GB2312" w:cs="Times New Roman"/>
          <w:kern w:val="2"/>
          <w:sz w:val="32"/>
          <w:szCs w:val="32"/>
          <w:u w:val="single"/>
          <w:lang w:val="en-US" w:eastAsia="zh-CN" w:bidi="ar-SA"/>
        </w:rPr>
        <w:t>南京科技馆</w:t>
      </w:r>
      <w:r>
        <w:rPr>
          <w:rFonts w:hint="eastAsia" w:ascii="Times New Roman" w:hAnsi="Times New Roman" w:eastAsia="仿宋_GB2312" w:cs="Times New Roman"/>
          <w:kern w:val="2"/>
          <w:sz w:val="32"/>
          <w:szCs w:val="32"/>
          <w:lang w:val="en-US" w:eastAsia="zh-CN" w:bidi="ar-SA"/>
        </w:rPr>
        <w:t>对</w:t>
      </w:r>
      <w:r>
        <w:rPr>
          <w:rFonts w:hint="eastAsia" w:ascii="Times New Roman" w:hAnsi="Times New Roman" w:eastAsia="仿宋_GB2312" w:cs="Times New Roman"/>
          <w:kern w:val="2"/>
          <w:sz w:val="32"/>
          <w:szCs w:val="32"/>
          <w:u w:val="single"/>
          <w:lang w:val="en-US" w:eastAsia="zh-CN" w:bidi="ar-SA"/>
        </w:rPr>
        <w:t>南京科技馆展品展项、基础设施设备零星维修供应商入围项目</w:t>
      </w:r>
      <w:r>
        <w:rPr>
          <w:rFonts w:hint="eastAsia" w:ascii="Times New Roman" w:hAnsi="Times New Roman" w:eastAsia="仿宋_GB2312" w:cs="Times New Roman"/>
          <w:kern w:val="2"/>
          <w:sz w:val="32"/>
          <w:szCs w:val="32"/>
          <w:lang w:val="en-US" w:eastAsia="zh-CN" w:bidi="ar-SA"/>
        </w:rPr>
        <w:t>采用公开比选进行采购。欢迎有资格的供应商参加比选。</w:t>
      </w:r>
    </w:p>
    <w:p w14:paraId="3F6D144C">
      <w:pPr>
        <w:keepNext w:val="0"/>
        <w:keepLines w:val="0"/>
        <w:pageBreakBefore w:val="0"/>
        <w:widowControl/>
        <w:numPr>
          <w:ilvl w:val="0"/>
          <w:numId w:val="0"/>
        </w:numPr>
        <w:kinsoku/>
        <w:wordWrap/>
        <w:overflowPunct/>
        <w:topLinePunct w:val="0"/>
        <w:autoSpaceDE/>
        <w:autoSpaceDN/>
        <w:bidi w:val="0"/>
        <w:adjustRightInd w:val="0"/>
        <w:snapToGrid w:val="0"/>
        <w:spacing w:before="157" w:beforeLines="50" w:after="157" w:afterLines="50" w:line="240" w:lineRule="auto"/>
        <w:jc w:val="left"/>
        <w:textAlignment w:val="auto"/>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一、比选信息</w:t>
      </w:r>
    </w:p>
    <w:p w14:paraId="5D0B5345">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u w:val="none"/>
          <w:lang w:val="en-US" w:eastAsia="zh-CN" w:bidi="ar-SA"/>
        </w:rPr>
      </w:pPr>
      <w:r>
        <w:rPr>
          <w:rFonts w:hint="eastAsia" w:ascii="Times New Roman" w:hAnsi="Times New Roman" w:eastAsia="仿宋_GB2312" w:cs="Times New Roman"/>
          <w:kern w:val="2"/>
          <w:sz w:val="32"/>
          <w:szCs w:val="32"/>
          <w:lang w:val="en-US" w:eastAsia="zh-CN" w:bidi="ar-SA"/>
        </w:rPr>
        <w:t>（一）项目名称：</w:t>
      </w:r>
      <w:r>
        <w:rPr>
          <w:rFonts w:hint="eastAsia" w:ascii="Times New Roman" w:hAnsi="Times New Roman" w:eastAsia="仿宋_GB2312" w:cs="Times New Roman"/>
          <w:kern w:val="2"/>
          <w:sz w:val="32"/>
          <w:szCs w:val="32"/>
          <w:u w:val="none"/>
          <w:lang w:val="en-US" w:eastAsia="zh-CN" w:bidi="ar-SA"/>
        </w:rPr>
        <w:t>南京科技馆展品展项、基础设施设备零星维修供应商入围项目</w:t>
      </w:r>
    </w:p>
    <w:p w14:paraId="0E4597AF">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（二）比选方式：公开比选</w:t>
      </w:r>
    </w:p>
    <w:p w14:paraId="33D2F4EB">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（三）评审方法：综合评分法</w:t>
      </w:r>
    </w:p>
    <w:p w14:paraId="6CC5E623">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（四）项目预算：全年预算9.8万元，按实际维修工作量结算</w:t>
      </w:r>
    </w:p>
    <w:p w14:paraId="7CC56C0F">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（五）服务地点：南京科技馆管理的所有园区及房产，包含雨花台区紫荆花路</w:t>
      </w:r>
      <w:r>
        <w:rPr>
          <w:rFonts w:hint="default" w:ascii="Times New Roman" w:hAnsi="Times New Roman" w:eastAsia="仿宋_GB2312" w:cs="Times New Roman"/>
          <w:kern w:val="2"/>
          <w:sz w:val="32"/>
          <w:szCs w:val="32"/>
          <w:lang w:val="en-US" w:eastAsia="zh-CN" w:bidi="ar-SA"/>
        </w:rPr>
        <w:t>9号园区及馆内、秦淮区龙蟠中路317号北楼、秦淮区解放路11号</w:t>
      </w:r>
    </w:p>
    <w:p w14:paraId="4FC7275B">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（六）服务时间：合同一年一签，第二年根据上一年考核结果确定每家入围单位是否续签，最多续签两期</w:t>
      </w:r>
    </w:p>
    <w:p w14:paraId="22DE74AB">
      <w:pPr>
        <w:keepNext w:val="0"/>
        <w:keepLines w:val="0"/>
        <w:pageBreakBefore w:val="0"/>
        <w:widowControl/>
        <w:numPr>
          <w:ilvl w:val="0"/>
          <w:numId w:val="0"/>
        </w:numPr>
        <w:kinsoku/>
        <w:wordWrap/>
        <w:overflowPunct/>
        <w:topLinePunct w:val="0"/>
        <w:autoSpaceDE/>
        <w:autoSpaceDN/>
        <w:bidi w:val="0"/>
        <w:adjustRightInd w:val="0"/>
        <w:snapToGrid w:val="0"/>
        <w:spacing w:before="157" w:beforeLines="50" w:after="157" w:afterLines="50" w:line="240" w:lineRule="auto"/>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二、资格要求</w:t>
      </w:r>
    </w:p>
    <w:p w14:paraId="58BCAD9C">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供应商是指参加比选竞争，并符合比选文件规定条件的法人、其他组织或者自然人。合格的供应商应符合下列条件： </w:t>
      </w:r>
    </w:p>
    <w:p w14:paraId="3B1D2066">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1.具有良好的商业信誉和健全的财务会计制度；</w:t>
      </w:r>
    </w:p>
    <w:p w14:paraId="7D83D3B4">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2.具有独立承担民事责任的能力；</w:t>
      </w:r>
    </w:p>
    <w:p w14:paraId="39D9E66D">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3.有依法缴纳税收和社会保障资金的良好记录；</w:t>
      </w:r>
    </w:p>
    <w:p w14:paraId="50B0EA3A">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4.具有履行合同所必需的设备和专业技术能力；</w:t>
      </w:r>
    </w:p>
    <w:p w14:paraId="1AD8D155">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5.参加政府采购活动前三年内，在经营活动中没有重大违法记录；</w:t>
      </w:r>
    </w:p>
    <w:p w14:paraId="54D8A683">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6.本项目涉及的法律、行政法规规定的其他特定资格条件；</w:t>
      </w:r>
    </w:p>
    <w:p w14:paraId="014EA735">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7.本项目不接受联合体参与比选。</w:t>
      </w:r>
    </w:p>
    <w:p w14:paraId="6F97C4EA">
      <w:pPr>
        <w:keepNext w:val="0"/>
        <w:keepLines w:val="0"/>
        <w:pageBreakBefore w:val="0"/>
        <w:widowControl/>
        <w:numPr>
          <w:ilvl w:val="0"/>
          <w:numId w:val="0"/>
        </w:numPr>
        <w:kinsoku/>
        <w:wordWrap/>
        <w:overflowPunct/>
        <w:topLinePunct w:val="0"/>
        <w:autoSpaceDE/>
        <w:autoSpaceDN/>
        <w:bidi w:val="0"/>
        <w:adjustRightInd w:val="0"/>
        <w:snapToGrid w:val="0"/>
        <w:spacing w:before="157" w:beforeLines="50" w:after="157" w:afterLines="50" w:line="240" w:lineRule="auto"/>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三、响应时间</w:t>
      </w:r>
    </w:p>
    <w:p w14:paraId="5A2070A7">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宋体" w:hAnsi="宋体" w:eastAsia="宋体" w:cs="宋体"/>
          <w:color w:val="000000"/>
          <w:kern w:val="0"/>
          <w:sz w:val="24"/>
          <w:szCs w:val="24"/>
          <w:lang w:val="en-US" w:eastAsia="zh-CN" w:bidi="ar"/>
        </w:rPr>
      </w:pPr>
      <w:r>
        <w:rPr>
          <w:rFonts w:hint="eastAsia" w:ascii="Times New Roman" w:hAnsi="Times New Roman" w:eastAsia="仿宋_GB2312" w:cs="Times New Roman"/>
          <w:kern w:val="2"/>
          <w:sz w:val="32"/>
          <w:szCs w:val="32"/>
          <w:lang w:val="en-US" w:eastAsia="zh-CN" w:bidi="ar-SA"/>
        </w:rPr>
        <w:t>响应开始时间：2026-11-02 09:00，响应截止时间：2026-11-06 17:00</w:t>
      </w:r>
      <w:r>
        <w:rPr>
          <w:rFonts w:hint="eastAsia" w:ascii="宋体" w:hAnsi="宋体" w:eastAsia="宋体" w:cs="宋体"/>
          <w:color w:val="000000"/>
          <w:kern w:val="0"/>
          <w:sz w:val="24"/>
          <w:szCs w:val="24"/>
          <w:lang w:val="en-US" w:eastAsia="zh-CN" w:bidi="ar"/>
        </w:rPr>
        <w:t xml:space="preserve"> 。</w:t>
      </w:r>
    </w:p>
    <w:p w14:paraId="09BD0600">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请于响应期内工作时间（9:00～17:00）递交材料。</w:t>
      </w:r>
    </w:p>
    <w:p w14:paraId="3480C833">
      <w:pPr>
        <w:keepNext w:val="0"/>
        <w:keepLines w:val="0"/>
        <w:pageBreakBefore w:val="0"/>
        <w:widowControl/>
        <w:numPr>
          <w:ilvl w:val="0"/>
          <w:numId w:val="0"/>
        </w:numPr>
        <w:kinsoku/>
        <w:wordWrap/>
        <w:overflowPunct/>
        <w:topLinePunct w:val="0"/>
        <w:autoSpaceDE/>
        <w:autoSpaceDN/>
        <w:bidi w:val="0"/>
        <w:adjustRightInd w:val="0"/>
        <w:snapToGrid w:val="0"/>
        <w:spacing w:before="157" w:beforeLines="50" w:after="157" w:afterLines="50" w:line="240" w:lineRule="auto"/>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 xml:space="preserve">四、联系方式 </w:t>
      </w:r>
    </w:p>
    <w:p w14:paraId="1C35CDB9">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项目联系人：翁帆帆 </w:t>
      </w:r>
    </w:p>
    <w:p w14:paraId="7ED4BF23">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联系人电话：15950522286 </w:t>
      </w:r>
    </w:p>
    <w:p w14:paraId="7FFB90B5">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文件递交地址：江苏省南京市雨花台区紫荆花路9号南京科技馆北门保安室</w:t>
      </w:r>
    </w:p>
    <w:p w14:paraId="5CF1C136">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p>
    <w:p w14:paraId="6BCD6893">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p>
    <w:p w14:paraId="10D09327">
      <w:pPr>
        <w:keepNext w:val="0"/>
        <w:keepLines w:val="0"/>
        <w:widowControl/>
        <w:numPr>
          <w:ilvl w:val="0"/>
          <w:numId w:val="0"/>
        </w:numPr>
        <w:suppressLineNumbers w:val="0"/>
        <w:jc w:val="center"/>
        <w:rPr>
          <w:rFonts w:hint="default" w:ascii="Times New Roman" w:hAnsi="Times New Roman" w:eastAsia="MicrosoftYaHei-Bold" w:cs="Times New Roman"/>
          <w:b/>
          <w:bCs/>
          <w:color w:val="036EFF"/>
          <w:kern w:val="0"/>
          <w:sz w:val="44"/>
          <w:szCs w:val="44"/>
          <w:lang w:val="en-US" w:eastAsia="zh-CN" w:bidi="ar"/>
        </w:rPr>
      </w:pPr>
      <w:r>
        <w:rPr>
          <w:rFonts w:hint="default" w:ascii="Times New Roman" w:hAnsi="Times New Roman" w:eastAsia="MicrosoftYaHei-Bold" w:cs="Times New Roman"/>
          <w:b/>
          <w:bCs/>
          <w:color w:val="036EFF"/>
          <w:kern w:val="0"/>
          <w:sz w:val="44"/>
          <w:szCs w:val="44"/>
          <w:lang w:val="en-US" w:eastAsia="zh-CN" w:bidi="ar"/>
        </w:rPr>
        <w:t>2.</w:t>
      </w:r>
      <w:r>
        <w:rPr>
          <w:rFonts w:hint="eastAsia" w:ascii="微软雅黑" w:hAnsi="微软雅黑" w:eastAsia="微软雅黑" w:cs="微软雅黑"/>
          <w:b/>
          <w:bCs/>
          <w:color w:val="036EFF"/>
          <w:kern w:val="0"/>
          <w:sz w:val="44"/>
          <w:szCs w:val="44"/>
          <w:lang w:val="en-US" w:eastAsia="zh-CN" w:bidi="ar"/>
        </w:rPr>
        <w:t>供应商须知</w:t>
      </w:r>
    </w:p>
    <w:p w14:paraId="6A0030BC">
      <w:pPr>
        <w:keepNext w:val="0"/>
        <w:keepLines w:val="0"/>
        <w:pageBreakBefore w:val="0"/>
        <w:widowControl/>
        <w:numPr>
          <w:ilvl w:val="0"/>
          <w:numId w:val="0"/>
        </w:numPr>
        <w:kinsoku/>
        <w:wordWrap/>
        <w:overflowPunct/>
        <w:topLinePunct w:val="0"/>
        <w:autoSpaceDE/>
        <w:autoSpaceDN/>
        <w:bidi w:val="0"/>
        <w:adjustRightInd w:val="0"/>
        <w:snapToGrid w:val="0"/>
        <w:spacing w:before="157" w:beforeLines="50" w:after="157" w:afterLines="50" w:line="240" w:lineRule="auto"/>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 xml:space="preserve">一、比选响应 </w:t>
      </w:r>
    </w:p>
    <w:p w14:paraId="0EDFFA52">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（一）供应商自行在公告文末下载比选文件，按照比选截止时间前完成比选响应。 </w:t>
      </w:r>
    </w:p>
    <w:p w14:paraId="3063DE04">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（二）供应商应当对比选文件提出的要求和条件作出实质性响应。  </w:t>
      </w:r>
    </w:p>
    <w:p w14:paraId="22258FB7">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（三）供应商应当在比选响应截止时间前，将比选响应文件纸质版提交至指定地点。</w:t>
      </w:r>
    </w:p>
    <w:p w14:paraId="0CC2F273">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（四）响应文件纸质版一式叁份，其中，壹份正本，贰份副本，加密封装并在封口处加盖公章。</w:t>
      </w:r>
    </w:p>
    <w:p w14:paraId="543437C8">
      <w:pPr>
        <w:keepNext w:val="0"/>
        <w:keepLines w:val="0"/>
        <w:pageBreakBefore w:val="0"/>
        <w:widowControl/>
        <w:numPr>
          <w:ilvl w:val="0"/>
          <w:numId w:val="0"/>
        </w:numPr>
        <w:kinsoku/>
        <w:wordWrap/>
        <w:overflowPunct/>
        <w:topLinePunct w:val="0"/>
        <w:autoSpaceDE/>
        <w:autoSpaceDN/>
        <w:bidi w:val="0"/>
        <w:adjustRightInd w:val="0"/>
        <w:snapToGrid w:val="0"/>
        <w:spacing w:before="157" w:beforeLines="50" w:after="157" w:afterLines="50" w:line="240" w:lineRule="auto"/>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 xml:space="preserve">二、比选响应文件语言、计量单位、货币、技术标准和编制 </w:t>
      </w:r>
    </w:p>
    <w:p w14:paraId="55C57A93">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一）供应商提交的响应文件、技术文件和资料，包括图纸中的说明等，应当使用中文。响应文件中若有英文或其他语言文字的资料，应提供相应的中文翻译资料。对不同文本响应文件的解释发生异议的，以中文文本为准。 </w:t>
      </w:r>
    </w:p>
    <w:p w14:paraId="2938ADD2">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（二）供应商所使用的计量单位应为国家法定计量单位。 </w:t>
      </w:r>
    </w:p>
    <w:p w14:paraId="408CE346">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（三）供应商应用人民币报价。 </w:t>
      </w:r>
    </w:p>
    <w:p w14:paraId="5631CEC0">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（四）供应商所使用的技术标准应遵循国家最新标准及规范。</w:t>
      </w:r>
    </w:p>
    <w:p w14:paraId="3438C610">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（五）比选文件包括但不限于以下资料（载明详细联系方式、加盖公章并密封）：</w:t>
      </w:r>
    </w:p>
    <w:p w14:paraId="3FC08D92">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1.有效的企业法人营业执照（或事业法人登记证等相关证明）副本复印件；</w:t>
      </w:r>
    </w:p>
    <w:p w14:paraId="54BA48F8">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2.法定代表人身份证复印件、授权委托书及被授权人身份证复印件；</w:t>
      </w:r>
    </w:p>
    <w:p w14:paraId="5E1F6F43">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3.资格要求条件满足性文件（或提供承诺函）；</w:t>
      </w:r>
    </w:p>
    <w:p w14:paraId="127BCF4F">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4.报价单；</w:t>
      </w:r>
    </w:p>
    <w:p w14:paraId="0011383C">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5.业绩证明（提供合同复印件）；</w:t>
      </w:r>
    </w:p>
    <w:p w14:paraId="7959D3E4">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6.本地服务及售后服务能力承诺函（本地驻场地、针对各类维修的售后维保时间）；</w:t>
      </w:r>
    </w:p>
    <w:p w14:paraId="5D22A9BD">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7.技术方案：包括整体维修服务方案、应急响应方案及质量、安全管控方案；</w:t>
      </w:r>
    </w:p>
    <w:p w14:paraId="7D9D4E51">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8.人员配置：维修服务团队人员配置及持证情况。</w:t>
      </w:r>
    </w:p>
    <w:p w14:paraId="06F385A7">
      <w:pPr>
        <w:keepNext w:val="0"/>
        <w:keepLines w:val="0"/>
        <w:pageBreakBefore w:val="0"/>
        <w:widowControl/>
        <w:numPr>
          <w:ilvl w:val="0"/>
          <w:numId w:val="0"/>
        </w:numPr>
        <w:kinsoku/>
        <w:wordWrap/>
        <w:overflowPunct/>
        <w:topLinePunct w:val="0"/>
        <w:autoSpaceDE/>
        <w:autoSpaceDN/>
        <w:bidi w:val="0"/>
        <w:adjustRightInd w:val="0"/>
        <w:snapToGrid w:val="0"/>
        <w:spacing w:before="157" w:beforeLines="50" w:after="157" w:afterLines="50" w:line="240" w:lineRule="auto"/>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 xml:space="preserve">三、比选费用 </w:t>
      </w:r>
    </w:p>
    <w:p w14:paraId="395E8CA3">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供应商应承担所有与准备和参加比选有关费用，采购人在任何情况下均无义务和责任承担这些费用。  </w:t>
      </w:r>
    </w:p>
    <w:p w14:paraId="64B76B07">
      <w:pPr>
        <w:keepNext w:val="0"/>
        <w:keepLines w:val="0"/>
        <w:pageBreakBefore w:val="0"/>
        <w:widowControl/>
        <w:numPr>
          <w:ilvl w:val="0"/>
          <w:numId w:val="0"/>
        </w:numPr>
        <w:kinsoku/>
        <w:wordWrap/>
        <w:overflowPunct/>
        <w:topLinePunct w:val="0"/>
        <w:autoSpaceDE/>
        <w:autoSpaceDN/>
        <w:bidi w:val="0"/>
        <w:adjustRightInd w:val="0"/>
        <w:snapToGrid w:val="0"/>
        <w:spacing w:before="157" w:beforeLines="50" w:after="157" w:afterLines="50" w:line="240" w:lineRule="auto"/>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 xml:space="preserve">四、比选报价 </w:t>
      </w:r>
    </w:p>
    <w:p w14:paraId="04991E9A">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（一）供应商按照提供的报价单进行报价。 </w:t>
      </w:r>
    </w:p>
    <w:p w14:paraId="49B2A1F0">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二）供应商应保证本次报价中及服务期内本项目服务团队的每位员工的最低月工资标准不低于本地区最低标准；工作时间符合劳动法的规定。供应商应自行为员工办理必须的保险，有关人员伤亡及第三者责任险均由供应商考虑并包含在报价中。 </w:t>
      </w:r>
    </w:p>
    <w:p w14:paraId="6DB7683D">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（三）供应商任何错漏、优惠、竞争性报价不得作为减轻责任、减少服务、增加收费、降低质量的理由。 </w:t>
      </w:r>
    </w:p>
    <w:p w14:paraId="6477F9D1">
      <w:pPr>
        <w:keepNext w:val="0"/>
        <w:keepLines w:val="0"/>
        <w:pageBreakBefore w:val="0"/>
        <w:widowControl/>
        <w:numPr>
          <w:ilvl w:val="0"/>
          <w:numId w:val="0"/>
        </w:numPr>
        <w:kinsoku/>
        <w:wordWrap/>
        <w:overflowPunct/>
        <w:topLinePunct w:val="0"/>
        <w:autoSpaceDE/>
        <w:autoSpaceDN/>
        <w:bidi w:val="0"/>
        <w:adjustRightInd w:val="0"/>
        <w:snapToGrid w:val="0"/>
        <w:spacing w:before="157" w:beforeLines="50" w:after="157" w:afterLines="50" w:line="240" w:lineRule="auto"/>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五、评审标准</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2"/>
        <w:gridCol w:w="787"/>
        <w:gridCol w:w="1188"/>
        <w:gridCol w:w="4548"/>
        <w:gridCol w:w="852"/>
        <w:gridCol w:w="542"/>
      </w:tblGrid>
      <w:tr w14:paraId="2CB30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2" w:type="dxa"/>
            <w:vAlign w:val="center"/>
          </w:tcPr>
          <w:p w14:paraId="3C245614">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序号</w:t>
            </w:r>
          </w:p>
        </w:tc>
        <w:tc>
          <w:tcPr>
            <w:tcW w:w="787" w:type="dxa"/>
            <w:vAlign w:val="center"/>
          </w:tcPr>
          <w:p w14:paraId="53D11899">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评分大类</w:t>
            </w:r>
          </w:p>
        </w:tc>
        <w:tc>
          <w:tcPr>
            <w:tcW w:w="1188" w:type="dxa"/>
            <w:vAlign w:val="center"/>
          </w:tcPr>
          <w:p w14:paraId="5C9D50E6">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评分因素</w:t>
            </w:r>
          </w:p>
        </w:tc>
        <w:tc>
          <w:tcPr>
            <w:tcW w:w="4548" w:type="dxa"/>
            <w:vAlign w:val="center"/>
          </w:tcPr>
          <w:p w14:paraId="078DE376">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评分标准</w:t>
            </w:r>
          </w:p>
        </w:tc>
        <w:tc>
          <w:tcPr>
            <w:tcW w:w="852" w:type="dxa"/>
            <w:vAlign w:val="center"/>
          </w:tcPr>
          <w:p w14:paraId="1CFDE1EA">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评分类型</w:t>
            </w:r>
          </w:p>
        </w:tc>
        <w:tc>
          <w:tcPr>
            <w:tcW w:w="542" w:type="dxa"/>
            <w:vAlign w:val="center"/>
          </w:tcPr>
          <w:p w14:paraId="77D37EB2">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满分</w:t>
            </w:r>
          </w:p>
        </w:tc>
      </w:tr>
      <w:tr w14:paraId="59A2B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2" w:type="dxa"/>
            <w:vAlign w:val="center"/>
          </w:tcPr>
          <w:p w14:paraId="242E1E29">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1</w:t>
            </w:r>
          </w:p>
        </w:tc>
        <w:tc>
          <w:tcPr>
            <w:tcW w:w="787" w:type="dxa"/>
            <w:vAlign w:val="center"/>
          </w:tcPr>
          <w:p w14:paraId="35D2BEE6">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价格部分</w:t>
            </w:r>
          </w:p>
        </w:tc>
        <w:tc>
          <w:tcPr>
            <w:tcW w:w="1188" w:type="dxa"/>
            <w:vAlign w:val="center"/>
          </w:tcPr>
          <w:p w14:paraId="419D1944">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报价</w:t>
            </w:r>
          </w:p>
        </w:tc>
        <w:tc>
          <w:tcPr>
            <w:tcW w:w="4548" w:type="dxa"/>
            <w:vAlign w:val="center"/>
          </w:tcPr>
          <w:p w14:paraId="5EAF4096">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普通工种人工费单价（12 分）</w:t>
            </w:r>
          </w:p>
          <w:p w14:paraId="2388AD8B">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特殊工种人工费单价（12 分）</w:t>
            </w:r>
          </w:p>
          <w:p w14:paraId="0486364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配件采买利润率（6 分）</w:t>
            </w:r>
          </w:p>
          <w:p w14:paraId="0AB078B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 xml:space="preserve">本项以通过资格审查的有效报价为基础，取单项有效报价最低值为该项基准价； 投标报价等于基准价得该项满分；报价高于基准价的，每高出基准价 1% 扣 0.5 分，不足 1% 采用插入法计算，扣至该项 0 分为止； </w:t>
            </w:r>
          </w:p>
          <w:p w14:paraId="5E6D9138">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评标委员会有权对成为基准价的报价或其他报价进行评审，若认定报价明显低于市场合理成本且投标人无法提供合理解释及佐证材料的，可按无效报价处理；该报价不参与基准价计算。</w:t>
            </w:r>
          </w:p>
        </w:tc>
        <w:tc>
          <w:tcPr>
            <w:tcW w:w="852" w:type="dxa"/>
            <w:vAlign w:val="center"/>
          </w:tcPr>
          <w:p w14:paraId="3983DEB0">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客观分</w:t>
            </w:r>
          </w:p>
        </w:tc>
        <w:tc>
          <w:tcPr>
            <w:tcW w:w="542" w:type="dxa"/>
            <w:vAlign w:val="center"/>
          </w:tcPr>
          <w:p w14:paraId="65C8503F">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30</w:t>
            </w:r>
          </w:p>
        </w:tc>
      </w:tr>
      <w:tr w14:paraId="13258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2" w:type="dxa"/>
            <w:vAlign w:val="center"/>
          </w:tcPr>
          <w:p w14:paraId="5071B648">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w:t>
            </w:r>
          </w:p>
        </w:tc>
        <w:tc>
          <w:tcPr>
            <w:tcW w:w="787" w:type="dxa"/>
            <w:vMerge w:val="restart"/>
            <w:vAlign w:val="center"/>
          </w:tcPr>
          <w:p w14:paraId="26553B55">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商务部分</w:t>
            </w:r>
          </w:p>
        </w:tc>
        <w:tc>
          <w:tcPr>
            <w:tcW w:w="1188" w:type="dxa"/>
            <w:vAlign w:val="center"/>
          </w:tcPr>
          <w:p w14:paraId="603536E3">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类似业绩</w:t>
            </w:r>
          </w:p>
        </w:tc>
        <w:tc>
          <w:tcPr>
            <w:tcW w:w="4548" w:type="dxa"/>
            <w:vAlign w:val="center"/>
          </w:tcPr>
          <w:p w14:paraId="6880944A">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近5年（以合同签订时间为准）承接的</w:t>
            </w:r>
            <w:r>
              <w:rPr>
                <w:rFonts w:hint="eastAsia" w:ascii="Times New Roman" w:hAnsi="Times New Roman" w:eastAsia="仿宋_GB2312" w:cs="Times New Roman"/>
                <w:b/>
                <w:bCs/>
                <w:kern w:val="2"/>
                <w:sz w:val="24"/>
                <w:szCs w:val="24"/>
                <w:lang w:val="en-US" w:eastAsia="zh-CN" w:bidi="ar-SA"/>
              </w:rPr>
              <w:t>科技馆、博物馆、体育馆、学校、医院等公共场馆或公共空间</w:t>
            </w:r>
            <w:r>
              <w:rPr>
                <w:rFonts w:hint="eastAsia" w:ascii="Times New Roman" w:hAnsi="Times New Roman" w:eastAsia="仿宋_GB2312" w:cs="Times New Roman"/>
                <w:kern w:val="2"/>
                <w:sz w:val="24"/>
                <w:szCs w:val="24"/>
                <w:lang w:val="en-US" w:eastAsia="zh-CN" w:bidi="ar-SA"/>
              </w:rPr>
              <w:t>内</w:t>
            </w:r>
            <w:r>
              <w:rPr>
                <w:rFonts w:hint="eastAsia" w:ascii="Times New Roman" w:hAnsi="Times New Roman" w:eastAsia="仿宋_GB2312" w:cs="Times New Roman"/>
                <w:b/>
                <w:bCs/>
                <w:kern w:val="2"/>
                <w:sz w:val="24"/>
                <w:szCs w:val="24"/>
                <w:lang w:val="en-US" w:eastAsia="zh-CN" w:bidi="ar-SA"/>
              </w:rPr>
              <w:t>展品展项维修维保</w:t>
            </w:r>
            <w:r>
              <w:rPr>
                <w:rFonts w:hint="eastAsia" w:ascii="Times New Roman" w:hAnsi="Times New Roman" w:eastAsia="仿宋_GB2312" w:cs="Times New Roman"/>
                <w:kern w:val="2"/>
                <w:sz w:val="24"/>
                <w:szCs w:val="24"/>
                <w:lang w:val="en-US" w:eastAsia="zh-CN" w:bidi="ar-SA"/>
              </w:rPr>
              <w:t>、或</w:t>
            </w:r>
            <w:r>
              <w:rPr>
                <w:rFonts w:hint="eastAsia" w:ascii="Times New Roman" w:hAnsi="Times New Roman" w:eastAsia="仿宋_GB2312" w:cs="Times New Roman"/>
                <w:b/>
                <w:bCs/>
                <w:kern w:val="2"/>
                <w:sz w:val="24"/>
                <w:szCs w:val="24"/>
                <w:lang w:val="en-US" w:eastAsia="zh-CN" w:bidi="ar-SA"/>
              </w:rPr>
              <w:t>基础设施零星维修维保</w:t>
            </w:r>
            <w:r>
              <w:rPr>
                <w:rFonts w:hint="eastAsia" w:ascii="Times New Roman" w:hAnsi="Times New Roman" w:eastAsia="仿宋_GB2312" w:cs="Times New Roman"/>
                <w:kern w:val="2"/>
                <w:sz w:val="24"/>
                <w:szCs w:val="24"/>
                <w:lang w:val="en-US" w:eastAsia="zh-CN" w:bidi="ar-SA"/>
              </w:rPr>
              <w:t>项目业绩。每提供一个得3分，最高得15分。</w:t>
            </w:r>
          </w:p>
        </w:tc>
        <w:tc>
          <w:tcPr>
            <w:tcW w:w="852" w:type="dxa"/>
            <w:vAlign w:val="center"/>
          </w:tcPr>
          <w:p w14:paraId="24F03EA5">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客观分</w:t>
            </w:r>
          </w:p>
        </w:tc>
        <w:tc>
          <w:tcPr>
            <w:tcW w:w="542" w:type="dxa"/>
            <w:vAlign w:val="center"/>
          </w:tcPr>
          <w:p w14:paraId="6157312E">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15</w:t>
            </w:r>
          </w:p>
        </w:tc>
      </w:tr>
      <w:tr w14:paraId="4A60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2" w:type="dxa"/>
            <w:vAlign w:val="center"/>
          </w:tcPr>
          <w:p w14:paraId="5BFBB615">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3</w:t>
            </w:r>
          </w:p>
        </w:tc>
        <w:tc>
          <w:tcPr>
            <w:tcW w:w="787" w:type="dxa"/>
            <w:vMerge w:val="continue"/>
            <w:vAlign w:val="center"/>
          </w:tcPr>
          <w:p w14:paraId="493E9B5E">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eastAsia" w:ascii="Times New Roman" w:hAnsi="Times New Roman" w:eastAsia="仿宋_GB2312" w:cs="Times New Roman"/>
                <w:kern w:val="2"/>
                <w:sz w:val="24"/>
                <w:szCs w:val="24"/>
                <w:lang w:val="en-US" w:eastAsia="zh-CN" w:bidi="ar-SA"/>
              </w:rPr>
            </w:pPr>
          </w:p>
        </w:tc>
        <w:tc>
          <w:tcPr>
            <w:tcW w:w="1188" w:type="dxa"/>
            <w:vAlign w:val="center"/>
          </w:tcPr>
          <w:p w14:paraId="0F8B0201">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本地服务保障能力</w:t>
            </w:r>
          </w:p>
        </w:tc>
        <w:tc>
          <w:tcPr>
            <w:tcW w:w="4548" w:type="dxa"/>
            <w:vAlign w:val="center"/>
          </w:tcPr>
          <w:p w14:paraId="37564A3E">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在南京市内设有</w:t>
            </w:r>
            <w:r>
              <w:rPr>
                <w:rFonts w:hint="eastAsia" w:ascii="Times New Roman" w:hAnsi="Times New Roman" w:eastAsia="仿宋_GB2312" w:cs="Times New Roman"/>
                <w:b/>
                <w:bCs/>
                <w:kern w:val="2"/>
                <w:sz w:val="24"/>
                <w:szCs w:val="24"/>
                <w:lang w:val="en-US" w:eastAsia="zh-CN" w:bidi="ar-SA"/>
              </w:rPr>
              <w:t>固定服务站点</w:t>
            </w:r>
            <w:r>
              <w:rPr>
                <w:rFonts w:hint="eastAsia" w:ascii="Times New Roman" w:hAnsi="Times New Roman" w:eastAsia="仿宋_GB2312" w:cs="Times New Roman"/>
                <w:kern w:val="2"/>
                <w:sz w:val="24"/>
                <w:szCs w:val="24"/>
                <w:lang w:val="en-US" w:eastAsia="zh-CN" w:bidi="ar-SA"/>
              </w:rPr>
              <w:t>：</w:t>
            </w:r>
          </w:p>
          <w:p w14:paraId="47319F25">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公司注册地、自有或租赁场地作为服务点（提供租赁合同或产权证明），可就近派驻抢修人员得6分；</w:t>
            </w:r>
          </w:p>
          <w:p w14:paraId="697F1B4D">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在南京无固定仓储服务点，但承诺接到报修后可安排人员4小时内抵达现场得3分；</w:t>
            </w:r>
          </w:p>
          <w:p w14:paraId="61635FB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无本地服务点和就近抢修保障承诺：0分。</w:t>
            </w:r>
          </w:p>
        </w:tc>
        <w:tc>
          <w:tcPr>
            <w:tcW w:w="852" w:type="dxa"/>
            <w:vAlign w:val="center"/>
          </w:tcPr>
          <w:p w14:paraId="6426DFA5">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客观分</w:t>
            </w:r>
          </w:p>
        </w:tc>
        <w:tc>
          <w:tcPr>
            <w:tcW w:w="542" w:type="dxa"/>
            <w:vAlign w:val="center"/>
          </w:tcPr>
          <w:p w14:paraId="2D42C578">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6</w:t>
            </w:r>
          </w:p>
        </w:tc>
      </w:tr>
      <w:tr w14:paraId="10485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2" w:type="dxa"/>
            <w:vAlign w:val="center"/>
          </w:tcPr>
          <w:p w14:paraId="081980EF">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w:t>
            </w:r>
          </w:p>
        </w:tc>
        <w:tc>
          <w:tcPr>
            <w:tcW w:w="787" w:type="dxa"/>
            <w:vMerge w:val="restart"/>
            <w:vAlign w:val="center"/>
          </w:tcPr>
          <w:p w14:paraId="0C961FD5">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技术部分</w:t>
            </w:r>
          </w:p>
        </w:tc>
        <w:tc>
          <w:tcPr>
            <w:tcW w:w="1188" w:type="dxa"/>
            <w:vAlign w:val="center"/>
          </w:tcPr>
          <w:p w14:paraId="41832238">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维修服务实施方案</w:t>
            </w:r>
          </w:p>
        </w:tc>
        <w:tc>
          <w:tcPr>
            <w:tcW w:w="4548" w:type="dxa"/>
            <w:vAlign w:val="center"/>
          </w:tcPr>
          <w:p w14:paraId="38EFF02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由评委根据方案完整性、针对性、贴合科技馆场景情况，分档打分：</w:t>
            </w:r>
          </w:p>
          <w:p w14:paraId="5AD4FB0B">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一档（19-27分，优）：方案针对性强，充分考虑科技馆互动科普展品（机电、传感器、PLC、VR/AR、定制自研展项）+ 基础设施（水电、弱电、暖通、公共设施）两类维修特点；明确故障分级处置流程、展品拆机保护、科学演示效果复原措施、维修台账、成品保护（亚克力、互动屏、定制展品防护）；应急抢修机制清晰，明确接单响应、到场时限、节假日/夜间保障、故障研判、返修、验收全流程；质量管控、安全防护、现场游客隔离防护措施完善；有备件储备、故障档案建立思路，适配本馆零星派单模式。</w:t>
            </w:r>
          </w:p>
          <w:p w14:paraId="6A3BDAAE">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color w:val="000000"/>
                <w:sz w:val="24"/>
                <w:szCs w:val="24"/>
              </w:rPr>
            </w:pPr>
            <w:r>
              <w:rPr>
                <w:rFonts w:hint="eastAsia" w:ascii="Times New Roman" w:hAnsi="Times New Roman" w:eastAsia="仿宋_GB2312" w:cs="Times New Roman"/>
                <w:kern w:val="2"/>
                <w:sz w:val="24"/>
                <w:szCs w:val="24"/>
                <w:lang w:val="en-US" w:eastAsia="zh-CN" w:bidi="ar-SA"/>
              </w:rPr>
              <w:t>二档（10-18分，良）：方案整体完整，有常规维修、应急流程，但偏向普通水电物业维修，针对科普定制展品维修、展项科学功能复原的专项措施偏少，细节一般，可满足基础维保需求。</w:t>
            </w:r>
          </w:p>
          <w:p w14:paraId="2FB3C357">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color w:val="000000"/>
                <w:sz w:val="24"/>
                <w:szCs w:val="24"/>
              </w:rPr>
            </w:pPr>
            <w:r>
              <w:rPr>
                <w:rFonts w:hint="eastAsia" w:ascii="Times New Roman" w:hAnsi="Times New Roman" w:eastAsia="仿宋_GB2312" w:cs="Times New Roman"/>
                <w:kern w:val="2"/>
                <w:sz w:val="24"/>
                <w:szCs w:val="24"/>
                <w:lang w:val="en-US" w:eastAsia="zh-CN" w:bidi="ar-SA"/>
              </w:rPr>
              <w:t>三档（1-9分，一般）：方案内容简略，流程简单，缺少故障分级、现场安全、展品专项保护内容，通用性强、针对性弱。</w:t>
            </w:r>
          </w:p>
          <w:p w14:paraId="14C1007E">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四档（0分）：未提供服务方案，或方案内容和本项目无关。</w:t>
            </w:r>
          </w:p>
        </w:tc>
        <w:tc>
          <w:tcPr>
            <w:tcW w:w="852" w:type="dxa"/>
            <w:vAlign w:val="center"/>
          </w:tcPr>
          <w:p w14:paraId="365C208D">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主观分</w:t>
            </w:r>
          </w:p>
        </w:tc>
        <w:tc>
          <w:tcPr>
            <w:tcW w:w="542" w:type="dxa"/>
            <w:vAlign w:val="center"/>
          </w:tcPr>
          <w:p w14:paraId="3D60487A">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27</w:t>
            </w:r>
          </w:p>
        </w:tc>
      </w:tr>
      <w:tr w14:paraId="67BE9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2" w:type="dxa"/>
            <w:vAlign w:val="center"/>
          </w:tcPr>
          <w:p w14:paraId="23BB49CD">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5</w:t>
            </w:r>
          </w:p>
        </w:tc>
        <w:tc>
          <w:tcPr>
            <w:tcW w:w="787" w:type="dxa"/>
            <w:vMerge w:val="continue"/>
            <w:vAlign w:val="center"/>
          </w:tcPr>
          <w:p w14:paraId="0538D1E7">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eastAsia" w:ascii="Times New Roman" w:hAnsi="Times New Roman" w:eastAsia="仿宋_GB2312" w:cs="Times New Roman"/>
                <w:kern w:val="2"/>
                <w:sz w:val="24"/>
                <w:szCs w:val="24"/>
                <w:lang w:val="en-US" w:eastAsia="zh-CN" w:bidi="ar-SA"/>
              </w:rPr>
            </w:pPr>
          </w:p>
        </w:tc>
        <w:tc>
          <w:tcPr>
            <w:tcW w:w="1188" w:type="dxa"/>
            <w:vAlign w:val="center"/>
          </w:tcPr>
          <w:p w14:paraId="2236F749">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售后服务、质保及返修保障方案</w:t>
            </w:r>
          </w:p>
        </w:tc>
        <w:tc>
          <w:tcPr>
            <w:tcW w:w="4548" w:type="dxa"/>
            <w:vAlign w:val="center"/>
          </w:tcPr>
          <w:p w14:paraId="7DFDA5A7">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优（9-12分）：明确维修质保时长，</w:t>
            </w:r>
            <w:r>
              <w:rPr>
                <w:rFonts w:hint="eastAsia" w:ascii="Times New Roman" w:hAnsi="Times New Roman" w:eastAsia="仿宋_GB2312" w:cs="Times New Roman"/>
                <w:b/>
                <w:bCs/>
                <w:kern w:val="2"/>
                <w:sz w:val="24"/>
                <w:szCs w:val="24"/>
                <w:lang w:val="en-US" w:eastAsia="zh-CN" w:bidi="ar-SA"/>
              </w:rPr>
              <w:t>质保期≥ 90天</w:t>
            </w:r>
            <w:r>
              <w:rPr>
                <w:rFonts w:hint="eastAsia" w:ascii="Times New Roman" w:hAnsi="Times New Roman" w:eastAsia="仿宋_GB2312" w:cs="Times New Roman"/>
                <w:kern w:val="2"/>
                <w:sz w:val="24"/>
                <w:szCs w:val="24"/>
                <w:lang w:val="en-US" w:eastAsia="zh-CN" w:bidi="ar-SA"/>
              </w:rPr>
              <w:t>），质保范围内同一故障重复故障免费返修、免费上门；设有专属对接人；提供完工回访、定期隐患巡检；针对科技馆大型科普活动、节假日客流高峰有专项售后保障方案。</w:t>
            </w:r>
          </w:p>
          <w:p w14:paraId="0320C598">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良（5-8分）：有质保承诺，质保期≥60 天，有返修机制，但缺少专项活动保障、回访、隐患排查内容。</w:t>
            </w:r>
          </w:p>
          <w:p w14:paraId="415E67BE">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一般（1-4分）：仅简单写质保，内容简略，无返修、回访细则。</w:t>
            </w:r>
          </w:p>
          <w:p w14:paraId="49A6651A">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差（0分）：无售后质保相关内容。</w:t>
            </w:r>
          </w:p>
        </w:tc>
        <w:tc>
          <w:tcPr>
            <w:tcW w:w="852" w:type="dxa"/>
            <w:vAlign w:val="center"/>
          </w:tcPr>
          <w:p w14:paraId="27BB473B">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主观分</w:t>
            </w:r>
          </w:p>
        </w:tc>
        <w:tc>
          <w:tcPr>
            <w:tcW w:w="542" w:type="dxa"/>
            <w:vAlign w:val="center"/>
          </w:tcPr>
          <w:p w14:paraId="3ADA3D1B">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12</w:t>
            </w:r>
          </w:p>
        </w:tc>
      </w:tr>
      <w:tr w14:paraId="56B26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2" w:type="dxa"/>
            <w:vAlign w:val="center"/>
          </w:tcPr>
          <w:p w14:paraId="67AB467C">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6</w:t>
            </w:r>
          </w:p>
        </w:tc>
        <w:tc>
          <w:tcPr>
            <w:tcW w:w="787" w:type="dxa"/>
            <w:vAlign w:val="center"/>
          </w:tcPr>
          <w:p w14:paraId="7FA06508">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人员配置部分</w:t>
            </w:r>
          </w:p>
        </w:tc>
        <w:tc>
          <w:tcPr>
            <w:tcW w:w="1188" w:type="dxa"/>
            <w:vAlign w:val="center"/>
          </w:tcPr>
          <w:p w14:paraId="7A426391">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维修服务团队人员配置及持证情况</w:t>
            </w:r>
          </w:p>
        </w:tc>
        <w:tc>
          <w:tcPr>
            <w:tcW w:w="4548" w:type="dxa"/>
            <w:vAlign w:val="center"/>
          </w:tcPr>
          <w:p w14:paraId="6AEF79A5">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维修团队人员中有低压电工作业证、熔化焊接与热切割证、高空作业证、机电设备维修工技能等级证、维修电工技能等级证，每有一个证得2分。需提供人员证书及社保证明。</w:t>
            </w:r>
          </w:p>
          <w:p w14:paraId="3FB868B4">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left"/>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 xml:space="preserve">外聘/合作持证人员得分需同时提供：1）人员证书原件扫描件；2）加盖供应商公章+持证人员本人签字的履约承诺函；无承诺函的不予计分。 </w:t>
            </w:r>
          </w:p>
        </w:tc>
        <w:tc>
          <w:tcPr>
            <w:tcW w:w="852" w:type="dxa"/>
            <w:vAlign w:val="center"/>
          </w:tcPr>
          <w:p w14:paraId="089D798F">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客观分</w:t>
            </w:r>
          </w:p>
        </w:tc>
        <w:tc>
          <w:tcPr>
            <w:tcW w:w="542" w:type="dxa"/>
            <w:vAlign w:val="center"/>
          </w:tcPr>
          <w:p w14:paraId="2B441B98">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10</w:t>
            </w:r>
          </w:p>
        </w:tc>
      </w:tr>
    </w:tbl>
    <w:p w14:paraId="6484FEB1">
      <w:pPr>
        <w:keepNext w:val="0"/>
        <w:keepLines w:val="0"/>
        <w:pageBreakBefore w:val="0"/>
        <w:widowControl/>
        <w:numPr>
          <w:ilvl w:val="0"/>
          <w:numId w:val="0"/>
        </w:numPr>
        <w:kinsoku/>
        <w:wordWrap/>
        <w:overflowPunct/>
        <w:topLinePunct w:val="0"/>
        <w:autoSpaceDE/>
        <w:autoSpaceDN/>
        <w:bidi w:val="0"/>
        <w:adjustRightInd w:val="0"/>
        <w:snapToGrid w:val="0"/>
        <w:spacing w:before="157" w:beforeLines="50" w:after="157" w:afterLines="50" w:line="240" w:lineRule="auto"/>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六、其他说明</w:t>
      </w:r>
    </w:p>
    <w:p w14:paraId="6A719F2B">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本次询价选出的入围单位仅为实施单位的范围，不代表是项目的最终实施单位，最终实施单位会根据单次维修实际情况依据科技馆相关管理规定来确定。采购人日常派单结算时，有权参照南京当地同期市场行情审核，对明显高于市场行情的单价，采购人有权不予采用。比选的相关事宜一切解释权归采购人所有。</w:t>
      </w:r>
    </w:p>
    <w:p w14:paraId="2E7F9FCF">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p>
    <w:p w14:paraId="4FA62F4D">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p>
    <w:p w14:paraId="418043F9">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p>
    <w:p w14:paraId="74B9BA02">
      <w:pPr>
        <w:keepNext w:val="0"/>
        <w:keepLines w:val="0"/>
        <w:widowControl/>
        <w:numPr>
          <w:ilvl w:val="0"/>
          <w:numId w:val="0"/>
        </w:numPr>
        <w:suppressLineNumbers w:val="0"/>
        <w:jc w:val="center"/>
        <w:rPr>
          <w:rFonts w:hint="eastAsia" w:ascii="微软雅黑" w:hAnsi="微软雅黑" w:eastAsia="微软雅黑" w:cs="微软雅黑"/>
          <w:b/>
          <w:bCs/>
          <w:color w:val="036EFF"/>
          <w:kern w:val="0"/>
          <w:sz w:val="44"/>
          <w:szCs w:val="44"/>
          <w:lang w:val="en-US" w:eastAsia="zh-CN" w:bidi="ar"/>
        </w:rPr>
      </w:pPr>
      <w:r>
        <w:rPr>
          <w:rFonts w:hint="eastAsia" w:ascii="微软雅黑" w:hAnsi="微软雅黑" w:eastAsia="微软雅黑" w:cs="微软雅黑"/>
          <w:b/>
          <w:bCs/>
          <w:color w:val="036EFF"/>
          <w:kern w:val="0"/>
          <w:sz w:val="44"/>
          <w:szCs w:val="44"/>
          <w:lang w:val="en-US" w:eastAsia="zh-CN" w:bidi="ar"/>
        </w:rPr>
        <w:t>3.</w:t>
      </w:r>
      <w:r>
        <w:rPr>
          <w:rFonts w:hint="eastAsia" w:ascii="微软雅黑" w:hAnsi="微软雅黑" w:eastAsia="微软雅黑" w:cs="微软雅黑"/>
          <w:b/>
          <w:bCs/>
          <w:color w:val="036EFF"/>
          <w:kern w:val="0"/>
          <w:sz w:val="44"/>
          <w:szCs w:val="44"/>
          <w:lang w:val="en-US" w:eastAsia="zh-CN" w:bidi="ar"/>
        </w:rPr>
        <w:t>比选需求</w:t>
      </w:r>
    </w:p>
    <w:p w14:paraId="4FA75A51">
      <w:pPr>
        <w:keepNext w:val="0"/>
        <w:keepLines w:val="0"/>
        <w:pageBreakBefore w:val="0"/>
        <w:widowControl/>
        <w:numPr>
          <w:ilvl w:val="0"/>
          <w:numId w:val="0"/>
        </w:numPr>
        <w:kinsoku/>
        <w:wordWrap/>
        <w:overflowPunct/>
        <w:topLinePunct w:val="0"/>
        <w:autoSpaceDE/>
        <w:autoSpaceDN/>
        <w:bidi w:val="0"/>
        <w:adjustRightInd w:val="0"/>
        <w:snapToGrid w:val="0"/>
        <w:spacing w:before="157" w:beforeLines="50" w:after="157" w:afterLines="50" w:line="240" w:lineRule="auto"/>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 xml:space="preserve">一、项目概况 </w:t>
      </w:r>
    </w:p>
    <w:p w14:paraId="3A15A43D">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南京科技馆占地面积12.3万平方米，建筑面积3.1万平方米。现对年度零星维修服务进行入围采购。入围单位主要负责技术研发保障部依规自主采购的预算金额5万元以下，零星维修、应急抢修类的工程项目，具体服务内容如下：</w:t>
      </w:r>
    </w:p>
    <w:p w14:paraId="12EE107F">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1.展品展项专业维修支持及展区布展出新（如展品软件维修、电气设备维修、机械加工等；布展墙面地面修补、围栏焊接、玻璃更换等）；</w:t>
      </w:r>
    </w:p>
    <w:p w14:paraId="1D377B9C">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2.各类建筑物、构筑物的房屋修缮、维修（如：墙面地面修补、墙砖地砖铺贴、门窗更换、吊顶维修、屋面防水维修等）；</w:t>
      </w:r>
    </w:p>
    <w:p w14:paraId="72780604">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3.园区道路、围墙等相关基础设施的修缮维修；</w:t>
      </w:r>
    </w:p>
    <w:p w14:paraId="64A87089">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4.室内外水电管路管网及配套设施设备的改造、抢修；</w:t>
      </w:r>
    </w:p>
    <w:p w14:paraId="4CA814FF">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5.配件采买及安装服务工作（主要以二手设备、部分应急配件、小额配件为主）；</w:t>
      </w:r>
    </w:p>
    <w:p w14:paraId="2FEEBA22">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6.馆内其他需要外包的零星维修改造工程及突发土建及水电抢修项目。</w:t>
      </w:r>
    </w:p>
    <w:p w14:paraId="399DFF27">
      <w:pPr>
        <w:keepNext w:val="0"/>
        <w:keepLines w:val="0"/>
        <w:pageBreakBefore w:val="0"/>
        <w:widowControl/>
        <w:numPr>
          <w:ilvl w:val="0"/>
          <w:numId w:val="0"/>
        </w:numPr>
        <w:kinsoku/>
        <w:wordWrap/>
        <w:overflowPunct/>
        <w:topLinePunct w:val="0"/>
        <w:autoSpaceDE/>
        <w:autoSpaceDN/>
        <w:bidi w:val="0"/>
        <w:adjustRightInd w:val="0"/>
        <w:snapToGrid w:val="0"/>
        <w:spacing w:before="157" w:beforeLines="50" w:after="157" w:afterLines="50" w:line="240" w:lineRule="auto"/>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 xml:space="preserve">二、服务要求  </w:t>
      </w:r>
    </w:p>
    <w:p w14:paraId="622830F4">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1.入围单位根据工种单价进行报价，材料按市场价供给或由馆方提供。所用材料必须是国家名优产品，其质量必须符合国家产品质量检验标准并承诺一定期限的质保。</w:t>
      </w:r>
    </w:p>
    <w:p w14:paraId="6C2D50B8">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2.针对委托项目提出的维修方案应具备合法性、安全性、科学性、经济性、可行性，并须与馆方充分沟通并得到认可确认后方可实施。</w:t>
      </w:r>
    </w:p>
    <w:p w14:paraId="2348D36C">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3.施工质量要求：按国家建设部行业标准执行，工程质量须达到合格及以上。</w:t>
      </w:r>
    </w:p>
    <w:p w14:paraId="3DAEF76A">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4.施工过程中产生的各类垃圾（含地面处理的部分）需由实施维修的入围单位自行及时清理干净，由此产生的费用也由该单位自行承担。</w:t>
      </w:r>
    </w:p>
    <w:p w14:paraId="1EE96951">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5.入围单位完成施工后，需完成验收并签署维修任务单，按实进行结算。</w:t>
      </w:r>
    </w:p>
    <w:p w14:paraId="753C3401">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6.入围单位须有稳定的维修服务人员队伍，施工设备能满足维修作业需要，维修接单响应时间1小时以内，到场维修响应时间为24小时以内，应急抢修响应时间为4小时以内。</w:t>
      </w:r>
    </w:p>
    <w:p w14:paraId="2ED027FA">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7.入围单位应做好施工项目的安全管理工作。需遵守科技馆相关安全管理制度，对项目施工过程中的涉及到的人员、设备、车辆以及环境安全等负有完全法律责任，并购买相关人身、财产、意外保险。馆方对在施工中发生的各类人身、财产、意外等事故不负任何责任和义务。</w:t>
      </w:r>
    </w:p>
    <w:p w14:paraId="07927E24">
      <w:pPr>
        <w:keepNext w:val="0"/>
        <w:keepLines w:val="0"/>
        <w:pageBreakBefore w:val="0"/>
        <w:widowControl/>
        <w:numPr>
          <w:ilvl w:val="0"/>
          <w:numId w:val="0"/>
        </w:numPr>
        <w:kinsoku/>
        <w:wordWrap/>
        <w:overflowPunct/>
        <w:topLinePunct w:val="0"/>
        <w:autoSpaceDE/>
        <w:autoSpaceDN/>
        <w:bidi w:val="0"/>
        <w:adjustRightInd w:val="0"/>
        <w:snapToGrid w:val="0"/>
        <w:spacing w:before="157" w:beforeLines="50" w:after="157" w:afterLines="50" w:line="240" w:lineRule="auto"/>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 xml:space="preserve">三、商务要求 </w:t>
      </w:r>
    </w:p>
    <w:p w14:paraId="47E39DF5">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1.服务期限：三年，合同一年一签。年度考核合格可续签，最多续签二期。 </w:t>
      </w:r>
    </w:p>
    <w:p w14:paraId="5C695C7E">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2.服务地点：南京科技馆管理的所有园区及房产，包含雨花台区紫荆花路</w:t>
      </w:r>
      <w:r>
        <w:rPr>
          <w:rFonts w:hint="default" w:ascii="Times New Roman" w:hAnsi="Times New Roman" w:eastAsia="仿宋_GB2312" w:cs="Times New Roman"/>
          <w:kern w:val="2"/>
          <w:sz w:val="32"/>
          <w:szCs w:val="32"/>
          <w:lang w:val="en-US" w:eastAsia="zh-CN" w:bidi="ar-SA"/>
        </w:rPr>
        <w:t>9号园区及馆内、秦淮区龙蟠中路317号北楼、秦淮区解放路11号</w:t>
      </w:r>
      <w:r>
        <w:rPr>
          <w:rFonts w:hint="eastAsia" w:ascii="Times New Roman" w:hAnsi="Times New Roman" w:eastAsia="仿宋_GB2312" w:cs="Times New Roman"/>
          <w:kern w:val="2"/>
          <w:sz w:val="32"/>
          <w:szCs w:val="32"/>
          <w:lang w:val="en-US" w:eastAsia="zh-CN" w:bidi="ar-SA"/>
        </w:rPr>
        <w:t xml:space="preserve">。 </w:t>
      </w:r>
    </w:p>
    <w:p w14:paraId="73006D41">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3.付款方式：根据工作量大小，按月或季度结算，于结算后次月付款。 </w:t>
      </w:r>
    </w:p>
    <w:p w14:paraId="741B72E3">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default" w:ascii="Times New Roman" w:hAnsi="Times New Roman" w:eastAsia="仿宋_GB2312" w:cs="Times New Roman"/>
          <w:kern w:val="2"/>
          <w:sz w:val="32"/>
          <w:szCs w:val="32"/>
          <w:lang w:val="en-US" w:eastAsia="zh-CN" w:bidi="ar-SA"/>
        </w:rPr>
      </w:pPr>
    </w:p>
    <w:p w14:paraId="0BB1CE3F">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p>
    <w:p w14:paraId="362BBC45">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kern w:val="2"/>
          <w:sz w:val="32"/>
          <w:szCs w:val="32"/>
          <w:lang w:val="en-US" w:eastAsia="zh-CN" w:bidi="ar-SA"/>
        </w:rPr>
      </w:pPr>
      <w:bookmarkStart w:id="0" w:name="_GoBack"/>
    </w:p>
    <w:bookmarkEnd w:id="0"/>
    <w:p w14:paraId="6D9DF763">
      <w:pPr>
        <w:keepNext w:val="0"/>
        <w:keepLines w:val="0"/>
        <w:pageBreakBefore w:val="0"/>
        <w:widowControl w:val="0"/>
        <w:kinsoku/>
        <w:wordWrap/>
        <w:overflowPunct/>
        <w:topLinePunct w:val="0"/>
        <w:autoSpaceDE/>
        <w:autoSpaceDN/>
        <w:bidi w:val="0"/>
        <w:adjustRightInd/>
        <w:snapToGrid/>
        <w:spacing w:before="313" w:beforeLines="100" w:line="0" w:lineRule="atLeast"/>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南京科技馆展品展项、基础设施设备零星维修供应商入围项目</w:t>
      </w:r>
    </w:p>
    <w:p w14:paraId="4972A881">
      <w:pPr>
        <w:keepNext w:val="0"/>
        <w:keepLines w:val="0"/>
        <w:pageBreakBefore w:val="0"/>
        <w:widowControl w:val="0"/>
        <w:kinsoku/>
        <w:wordWrap/>
        <w:overflowPunct/>
        <w:topLinePunct w:val="0"/>
        <w:autoSpaceDE/>
        <w:autoSpaceDN/>
        <w:bidi w:val="0"/>
        <w:adjustRightInd/>
        <w:snapToGrid/>
        <w:spacing w:before="313" w:beforeLines="100" w:line="0" w:lineRule="atLeast"/>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报价单</w:t>
      </w:r>
    </w:p>
    <w:p w14:paraId="6EE929AD">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南京科技馆：</w:t>
      </w:r>
    </w:p>
    <w:p w14:paraId="51481616">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关于本次询价项目，我公司已经认真阅读了贵单位公布的比选公告，决定参加比选，具体报价内容如下：</w:t>
      </w:r>
    </w:p>
    <w:p w14:paraId="0E6E243D">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p>
    <w:tbl>
      <w:tblPr>
        <w:tblStyle w:val="2"/>
        <w:tblW w:w="77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4"/>
        <w:gridCol w:w="2469"/>
        <w:gridCol w:w="2929"/>
      </w:tblGrid>
      <w:tr w14:paraId="42790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8" w:hRule="atLeast"/>
          <w:jc w:val="center"/>
        </w:trPr>
        <w:tc>
          <w:tcPr>
            <w:tcW w:w="2324" w:type="dxa"/>
            <w:noWrap w:val="0"/>
            <w:vAlign w:val="center"/>
          </w:tcPr>
          <w:p w14:paraId="7450A46D">
            <w:pPr>
              <w:keepNext w:val="0"/>
              <w:keepLines w:val="0"/>
              <w:pageBreakBefore w:val="0"/>
              <w:widowControl/>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b/>
                <w:bCs/>
                <w:kern w:val="2"/>
                <w:sz w:val="28"/>
                <w:szCs w:val="28"/>
                <w:lang w:val="en-US" w:eastAsia="zh-CN" w:bidi="ar-SA"/>
              </w:rPr>
            </w:pPr>
            <w:r>
              <w:rPr>
                <w:rFonts w:hint="eastAsia" w:ascii="Times New Roman" w:hAnsi="Times New Roman" w:eastAsia="仿宋_GB2312" w:cs="Times New Roman"/>
                <w:b/>
                <w:bCs/>
                <w:kern w:val="2"/>
                <w:sz w:val="28"/>
                <w:szCs w:val="28"/>
                <w:lang w:val="en-US" w:eastAsia="zh-CN" w:bidi="ar-SA"/>
              </w:rPr>
              <w:t>工种</w:t>
            </w:r>
          </w:p>
        </w:tc>
        <w:tc>
          <w:tcPr>
            <w:tcW w:w="2469" w:type="dxa"/>
            <w:noWrap w:val="0"/>
            <w:vAlign w:val="center"/>
          </w:tcPr>
          <w:p w14:paraId="63061B2E">
            <w:pPr>
              <w:keepNext w:val="0"/>
              <w:keepLines w:val="0"/>
              <w:pageBreakBefore w:val="0"/>
              <w:widowControl/>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b/>
                <w:bCs/>
                <w:kern w:val="2"/>
                <w:sz w:val="28"/>
                <w:szCs w:val="28"/>
                <w:lang w:val="en-US" w:eastAsia="zh-CN" w:bidi="ar-SA"/>
              </w:rPr>
            </w:pPr>
            <w:r>
              <w:rPr>
                <w:rFonts w:hint="eastAsia" w:ascii="Times New Roman" w:hAnsi="Times New Roman" w:eastAsia="仿宋_GB2312" w:cs="Times New Roman"/>
                <w:b/>
                <w:bCs/>
                <w:kern w:val="2"/>
                <w:sz w:val="28"/>
                <w:szCs w:val="28"/>
                <w:lang w:val="en-US" w:eastAsia="zh-CN" w:bidi="ar-SA"/>
              </w:rPr>
              <w:t>工种单价（工日）</w:t>
            </w:r>
          </w:p>
        </w:tc>
        <w:tc>
          <w:tcPr>
            <w:tcW w:w="2929" w:type="dxa"/>
            <w:noWrap w:val="0"/>
            <w:vAlign w:val="center"/>
          </w:tcPr>
          <w:p w14:paraId="46D928E0">
            <w:pPr>
              <w:keepNext w:val="0"/>
              <w:keepLines w:val="0"/>
              <w:pageBreakBefore w:val="0"/>
              <w:widowControl/>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b/>
                <w:bCs/>
                <w:kern w:val="2"/>
                <w:sz w:val="28"/>
                <w:szCs w:val="28"/>
                <w:lang w:val="en-US" w:eastAsia="zh-CN" w:bidi="ar-SA"/>
              </w:rPr>
            </w:pPr>
            <w:r>
              <w:rPr>
                <w:rFonts w:hint="eastAsia" w:ascii="Times New Roman" w:hAnsi="Times New Roman" w:eastAsia="仿宋_GB2312" w:cs="Times New Roman"/>
                <w:b/>
                <w:bCs/>
                <w:kern w:val="2"/>
                <w:sz w:val="28"/>
                <w:szCs w:val="28"/>
                <w:lang w:val="en-US" w:eastAsia="zh-CN" w:bidi="ar-SA"/>
              </w:rPr>
              <w:t>备注</w:t>
            </w:r>
          </w:p>
        </w:tc>
      </w:tr>
      <w:tr w14:paraId="7910F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324" w:type="dxa"/>
            <w:noWrap w:val="0"/>
            <w:vAlign w:val="center"/>
          </w:tcPr>
          <w:p w14:paraId="0A3F4BBF">
            <w:pPr>
              <w:keepNext w:val="0"/>
              <w:keepLines w:val="0"/>
              <w:pageBreakBefore w:val="0"/>
              <w:widowControl/>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b w:val="0"/>
                <w:bCs w:val="0"/>
                <w:kern w:val="2"/>
                <w:sz w:val="28"/>
                <w:szCs w:val="28"/>
                <w:lang w:val="en-US" w:eastAsia="zh-CN" w:bidi="ar-SA"/>
              </w:rPr>
            </w:pPr>
            <w:r>
              <w:rPr>
                <w:rFonts w:hint="eastAsia" w:ascii="Times New Roman" w:hAnsi="Times New Roman" w:eastAsia="仿宋_GB2312" w:cs="Times New Roman"/>
                <w:b w:val="0"/>
                <w:bCs w:val="0"/>
                <w:kern w:val="2"/>
                <w:sz w:val="28"/>
                <w:szCs w:val="28"/>
                <w:lang w:val="en-US" w:eastAsia="zh-CN" w:bidi="ar-SA"/>
              </w:rPr>
              <w:t>普通工种</w:t>
            </w:r>
          </w:p>
        </w:tc>
        <w:tc>
          <w:tcPr>
            <w:tcW w:w="2469" w:type="dxa"/>
            <w:noWrap w:val="0"/>
            <w:vAlign w:val="center"/>
          </w:tcPr>
          <w:p w14:paraId="3F5EE742">
            <w:pPr>
              <w:keepNext w:val="0"/>
              <w:keepLines w:val="0"/>
              <w:pageBreakBefore w:val="0"/>
              <w:widowControl/>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b w:val="0"/>
                <w:bCs w:val="0"/>
                <w:kern w:val="2"/>
                <w:sz w:val="28"/>
                <w:szCs w:val="28"/>
                <w:lang w:val="en-US" w:eastAsia="zh-CN" w:bidi="ar-SA"/>
              </w:rPr>
            </w:pPr>
          </w:p>
        </w:tc>
        <w:tc>
          <w:tcPr>
            <w:tcW w:w="2929" w:type="dxa"/>
            <w:noWrap w:val="0"/>
            <w:vAlign w:val="center"/>
          </w:tcPr>
          <w:p w14:paraId="0418CCBD">
            <w:pPr>
              <w:keepNext w:val="0"/>
              <w:keepLines w:val="0"/>
              <w:pageBreakBefore w:val="0"/>
              <w:widowControl/>
              <w:kinsoku/>
              <w:wordWrap/>
              <w:overflowPunct/>
              <w:topLinePunct w:val="0"/>
              <w:autoSpaceDE/>
              <w:autoSpaceDN/>
              <w:bidi w:val="0"/>
              <w:adjustRightInd/>
              <w:snapToGrid w:val="0"/>
              <w:jc w:val="left"/>
              <w:textAlignment w:val="auto"/>
              <w:rPr>
                <w:rFonts w:hint="default" w:ascii="Times New Roman" w:hAnsi="Times New Roman" w:eastAsia="仿宋_GB2312" w:cs="Times New Roman"/>
                <w:b w:val="0"/>
                <w:bCs w:val="0"/>
                <w:kern w:val="2"/>
                <w:sz w:val="28"/>
                <w:szCs w:val="28"/>
                <w:lang w:val="en-US" w:eastAsia="zh-CN" w:bidi="ar-SA"/>
              </w:rPr>
            </w:pPr>
            <w:r>
              <w:rPr>
                <w:rFonts w:hint="eastAsia" w:ascii="Times New Roman" w:hAnsi="Times New Roman" w:eastAsia="仿宋_GB2312" w:cs="Times New Roman"/>
                <w:b w:val="0"/>
                <w:bCs w:val="0"/>
                <w:kern w:val="2"/>
                <w:sz w:val="28"/>
                <w:szCs w:val="28"/>
                <w:lang w:val="en-US" w:eastAsia="zh-CN" w:bidi="ar-SA"/>
              </w:rPr>
              <w:t>不需要特种证的：小工、杂工、搬运、清理、辅助等</w:t>
            </w:r>
          </w:p>
        </w:tc>
      </w:tr>
      <w:tr w14:paraId="24BFF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324" w:type="dxa"/>
            <w:noWrap w:val="0"/>
            <w:vAlign w:val="center"/>
          </w:tcPr>
          <w:p w14:paraId="24E67CAA">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val="0"/>
                <w:bCs w:val="0"/>
                <w:kern w:val="2"/>
                <w:sz w:val="28"/>
                <w:szCs w:val="28"/>
                <w:lang w:val="en-US" w:eastAsia="zh-CN" w:bidi="ar-SA"/>
              </w:rPr>
            </w:pPr>
            <w:r>
              <w:rPr>
                <w:rFonts w:hint="eastAsia" w:ascii="Times New Roman" w:hAnsi="Times New Roman" w:eastAsia="仿宋_GB2312" w:cs="Times New Roman"/>
                <w:b w:val="0"/>
                <w:bCs w:val="0"/>
                <w:kern w:val="2"/>
                <w:sz w:val="28"/>
                <w:szCs w:val="28"/>
                <w:lang w:val="en-US" w:eastAsia="zh-CN" w:bidi="ar-SA"/>
              </w:rPr>
              <w:t>特殊工种</w:t>
            </w:r>
          </w:p>
        </w:tc>
        <w:tc>
          <w:tcPr>
            <w:tcW w:w="2469" w:type="dxa"/>
            <w:noWrap w:val="0"/>
            <w:vAlign w:val="center"/>
          </w:tcPr>
          <w:p w14:paraId="094B1A62">
            <w:pPr>
              <w:keepNext w:val="0"/>
              <w:keepLines w:val="0"/>
              <w:pageBreakBefore w:val="0"/>
              <w:widowControl/>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b w:val="0"/>
                <w:bCs w:val="0"/>
                <w:kern w:val="2"/>
                <w:sz w:val="28"/>
                <w:szCs w:val="28"/>
                <w:lang w:val="en-US" w:eastAsia="zh-CN" w:bidi="ar-SA"/>
              </w:rPr>
            </w:pPr>
          </w:p>
        </w:tc>
        <w:tc>
          <w:tcPr>
            <w:tcW w:w="2929" w:type="dxa"/>
            <w:noWrap w:val="0"/>
            <w:vAlign w:val="center"/>
          </w:tcPr>
          <w:p w14:paraId="088D8F2A">
            <w:pPr>
              <w:keepNext w:val="0"/>
              <w:keepLines w:val="0"/>
              <w:pageBreakBefore w:val="0"/>
              <w:widowControl/>
              <w:kinsoku/>
              <w:wordWrap/>
              <w:overflowPunct/>
              <w:topLinePunct w:val="0"/>
              <w:autoSpaceDE/>
              <w:autoSpaceDN/>
              <w:bidi w:val="0"/>
              <w:adjustRightInd/>
              <w:snapToGrid w:val="0"/>
              <w:jc w:val="left"/>
              <w:textAlignment w:val="auto"/>
              <w:rPr>
                <w:rFonts w:hint="default" w:ascii="Times New Roman" w:hAnsi="Times New Roman" w:eastAsia="仿宋_GB2312" w:cs="Times New Roman"/>
                <w:b w:val="0"/>
                <w:bCs w:val="0"/>
                <w:kern w:val="2"/>
                <w:sz w:val="28"/>
                <w:szCs w:val="28"/>
                <w:lang w:val="en-US" w:eastAsia="zh-CN" w:bidi="ar-SA"/>
              </w:rPr>
            </w:pPr>
            <w:r>
              <w:rPr>
                <w:rFonts w:hint="eastAsia" w:ascii="Times New Roman" w:hAnsi="Times New Roman" w:eastAsia="仿宋_GB2312" w:cs="Times New Roman"/>
                <w:b w:val="0"/>
                <w:bCs w:val="0"/>
                <w:kern w:val="2"/>
                <w:sz w:val="28"/>
                <w:szCs w:val="28"/>
                <w:lang w:val="en-US" w:eastAsia="zh-CN" w:bidi="ar-SA"/>
              </w:rPr>
              <w:t>需持证上岗的：如电工、焊工、登高等</w:t>
            </w:r>
          </w:p>
        </w:tc>
      </w:tr>
      <w:tr w14:paraId="0913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324" w:type="dxa"/>
            <w:noWrap w:val="0"/>
            <w:vAlign w:val="center"/>
          </w:tcPr>
          <w:p w14:paraId="374EDFED">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val="0"/>
                <w:bCs w:val="0"/>
                <w:kern w:val="2"/>
                <w:sz w:val="28"/>
                <w:szCs w:val="28"/>
                <w:lang w:val="en-US" w:eastAsia="zh-CN" w:bidi="ar-SA"/>
              </w:rPr>
            </w:pPr>
            <w:r>
              <w:rPr>
                <w:rFonts w:hint="eastAsia" w:ascii="Times New Roman" w:hAnsi="Times New Roman" w:eastAsia="仿宋_GB2312" w:cs="Times New Roman"/>
                <w:b w:val="0"/>
                <w:bCs w:val="0"/>
                <w:kern w:val="2"/>
                <w:sz w:val="28"/>
                <w:szCs w:val="28"/>
                <w:lang w:val="en-US" w:eastAsia="zh-CN" w:bidi="ar-SA"/>
              </w:rPr>
              <w:t>配件采买利润率</w:t>
            </w:r>
          </w:p>
        </w:tc>
        <w:tc>
          <w:tcPr>
            <w:tcW w:w="2469" w:type="dxa"/>
            <w:noWrap w:val="0"/>
            <w:vAlign w:val="center"/>
          </w:tcPr>
          <w:p w14:paraId="331491B6">
            <w:pPr>
              <w:keepNext w:val="0"/>
              <w:keepLines w:val="0"/>
              <w:pageBreakBefore w:val="0"/>
              <w:widowControl/>
              <w:kinsoku/>
              <w:wordWrap/>
              <w:overflowPunct/>
              <w:topLinePunct w:val="0"/>
              <w:autoSpaceDE/>
              <w:autoSpaceDN/>
              <w:bidi w:val="0"/>
              <w:adjustRightInd/>
              <w:snapToGrid w:val="0"/>
              <w:jc w:val="both"/>
              <w:textAlignment w:val="auto"/>
              <w:rPr>
                <w:rFonts w:hint="eastAsia" w:ascii="Times New Roman" w:hAnsi="Times New Roman" w:eastAsia="仿宋_GB2312" w:cs="Times New Roman"/>
                <w:b w:val="0"/>
                <w:bCs w:val="0"/>
                <w:kern w:val="2"/>
                <w:sz w:val="28"/>
                <w:szCs w:val="28"/>
                <w:lang w:val="en-US" w:eastAsia="zh-CN" w:bidi="ar-SA"/>
              </w:rPr>
            </w:pPr>
          </w:p>
        </w:tc>
        <w:tc>
          <w:tcPr>
            <w:tcW w:w="2929" w:type="dxa"/>
            <w:noWrap w:val="0"/>
            <w:vAlign w:val="center"/>
          </w:tcPr>
          <w:p w14:paraId="2668CBF4">
            <w:pPr>
              <w:keepNext w:val="0"/>
              <w:keepLines w:val="0"/>
              <w:pageBreakBefore w:val="0"/>
              <w:widowControl/>
              <w:kinsoku/>
              <w:wordWrap/>
              <w:overflowPunct/>
              <w:topLinePunct w:val="0"/>
              <w:autoSpaceDE/>
              <w:autoSpaceDN/>
              <w:bidi w:val="0"/>
              <w:adjustRightInd/>
              <w:snapToGrid w:val="0"/>
              <w:jc w:val="left"/>
              <w:textAlignment w:val="auto"/>
              <w:rPr>
                <w:rFonts w:hint="default" w:ascii="Times New Roman" w:hAnsi="Times New Roman" w:eastAsia="仿宋_GB2312" w:cs="Times New Roman"/>
                <w:b w:val="0"/>
                <w:bCs w:val="0"/>
                <w:kern w:val="2"/>
                <w:sz w:val="28"/>
                <w:szCs w:val="28"/>
                <w:lang w:val="en-US" w:eastAsia="zh-CN" w:bidi="ar-SA"/>
              </w:rPr>
            </w:pPr>
            <w:r>
              <w:rPr>
                <w:rFonts w:hint="eastAsia" w:ascii="Times New Roman" w:hAnsi="Times New Roman" w:eastAsia="仿宋_GB2312" w:cs="Times New Roman"/>
                <w:b w:val="0"/>
                <w:bCs w:val="0"/>
                <w:kern w:val="2"/>
                <w:sz w:val="28"/>
                <w:szCs w:val="28"/>
                <w:lang w:val="en-US" w:eastAsia="zh-CN" w:bidi="ar-SA"/>
              </w:rPr>
              <w:t>（此栏备注填写公司零星维修增值税发票税点）</w:t>
            </w:r>
          </w:p>
        </w:tc>
      </w:tr>
    </w:tbl>
    <w:p w14:paraId="5C33308C">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仿宋_GB2312" w:cs="Times New Roman"/>
          <w:b w:val="0"/>
          <w:bCs w:val="0"/>
          <w:kern w:val="2"/>
          <w:sz w:val="28"/>
          <w:szCs w:val="28"/>
          <w:lang w:val="en-US" w:eastAsia="zh-CN" w:bidi="ar-SA"/>
        </w:rPr>
      </w:pPr>
    </w:p>
    <w:p w14:paraId="3267EA0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FC9D50A-F9DA-479F-971D-3C32388D17B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36617FFA-151F-40AA-8EBF-BB45ACBD8258}"/>
  </w:font>
  <w:font w:name="MicrosoftYaHei-Bold">
    <w:altName w:val="Segoe Print"/>
    <w:panose1 w:val="00000000000000000000"/>
    <w:charset w:val="00"/>
    <w:family w:val="auto"/>
    <w:pitch w:val="default"/>
    <w:sig w:usb0="00000000" w:usb1="00000000" w:usb2="00000000" w:usb3="00000000" w:csb0="00000000" w:csb1="00000000"/>
    <w:embedRegular r:id="rId3" w:fontKey="{33E88271-9B76-4639-B092-BD9F075751C8}"/>
  </w:font>
  <w:font w:name="微软雅黑">
    <w:panose1 w:val="020B0503020204020204"/>
    <w:charset w:val="86"/>
    <w:family w:val="auto"/>
    <w:pitch w:val="default"/>
    <w:sig w:usb0="80000287" w:usb1="2ACF3C50" w:usb2="00000016" w:usb3="00000000" w:csb0="0004001F" w:csb1="00000000"/>
    <w:embedRegular r:id="rId4" w:fontKey="{2C9BA05D-82AF-4B12-A56B-F413B2B4D8CE}"/>
  </w:font>
  <w:font w:name="仿宋_GB2312">
    <w:altName w:val="仿宋"/>
    <w:panose1 w:val="02010609030101010101"/>
    <w:charset w:val="86"/>
    <w:family w:val="auto"/>
    <w:pitch w:val="default"/>
    <w:sig w:usb0="00000000" w:usb1="00000000" w:usb2="00000000" w:usb3="00000000" w:csb0="00040000" w:csb1="00000000"/>
    <w:embedRegular r:id="rId5" w:fontKey="{58F11979-D91B-4DB7-AFA6-832910827CAD}"/>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6E2A5D"/>
    <w:rsid w:val="506E2A5D"/>
    <w:rsid w:val="52152B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2026-10-30T04:03:00Z</dcterms:created>
  <dc:creator>帆帆</dc:creator>
  <cp:lastModifiedBy>帆帆</cp:lastModifiedBy>
  <dcterms:modified xsi:type="dcterms:W3CDTF">2026-10-30T04:30:28Z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4DE94583E7F342B9A4ED69A9C2FE9FF8_11</vt:lpwstr>
  </property>
  <property fmtid="{D5CDD505-2E9C-101B-9397-08002B2CF9AE}" pid="4" name="KSOTemplateDocerSaveRecord">
    <vt:lpwstr>eyJoZGlkIjoiMGVhNjNkYTRlZjFkMmU2ZDA0MjAxOTNlZmZkOGMxMzUiLCJ1c2VySWQiOiI1MjMxODE5ODAifQ==</vt:lpwstr>
  </property>
</Properties>
</file>